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D8AC" w14:textId="0F040589" w:rsidR="00356274" w:rsidRDefault="00356274" w:rsidP="00356274">
      <w:pPr>
        <w:bidi/>
        <w:spacing w:after="0" w:line="240" w:lineRule="auto"/>
        <w:jc w:val="right"/>
        <w:rPr>
          <w:rFonts w:asciiTheme="majorHAnsi" w:hAnsiTheme="majorHAnsi" w:cstheme="minorHAnsi"/>
          <w:b/>
          <w:bCs/>
          <w:color w:val="8496B0" w:themeColor="text2" w:themeTint="99"/>
          <w:sz w:val="28"/>
          <w:szCs w:val="28"/>
        </w:rPr>
      </w:pPr>
      <w:r w:rsidRPr="00356274">
        <w:rPr>
          <w:rFonts w:asciiTheme="majorHAnsi" w:hAnsiTheme="majorHAnsi" w:cstheme="minorHAnsi"/>
          <w:b/>
          <w:bCs/>
          <w:color w:val="8496B0" w:themeColor="text2" w:themeTint="99"/>
          <w:sz w:val="28"/>
          <w:szCs w:val="28"/>
          <w:lang w:val="en-GB"/>
        </w:rPr>
        <w:t>Introduction</w:t>
      </w:r>
      <w:r>
        <w:rPr>
          <w:rFonts w:asciiTheme="majorHAnsi" w:hAnsiTheme="majorHAnsi" w:cstheme="minorHAnsi"/>
          <w:b/>
          <w:bCs/>
          <w:color w:val="8496B0" w:themeColor="text2" w:themeTint="99"/>
          <w:sz w:val="28"/>
          <w:szCs w:val="28"/>
        </w:rPr>
        <w:t xml:space="preserve"> to Cultural Heritage (DUTH)</w:t>
      </w:r>
    </w:p>
    <w:p w14:paraId="3C17D4BE" w14:textId="77777777" w:rsidR="00356274" w:rsidRPr="00356274" w:rsidRDefault="00356274" w:rsidP="00356274">
      <w:pPr>
        <w:bidi/>
        <w:spacing w:after="0" w:line="240" w:lineRule="auto"/>
        <w:jc w:val="right"/>
        <w:rPr>
          <w:rFonts w:asciiTheme="majorHAnsi" w:hAnsiTheme="majorHAnsi" w:cstheme="minorHAnsi"/>
          <w:b/>
          <w:bCs/>
          <w:color w:val="8496B0" w:themeColor="text2" w:themeTint="99"/>
          <w:sz w:val="28"/>
          <w:szCs w:val="28"/>
        </w:rPr>
      </w:pPr>
    </w:p>
    <w:tbl>
      <w:tblPr>
        <w:bidiVisual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4581"/>
        <w:gridCol w:w="47"/>
        <w:gridCol w:w="2383"/>
        <w:gridCol w:w="17"/>
      </w:tblGrid>
      <w:tr w:rsidR="00356274" w:rsidRPr="00016974" w14:paraId="22E7EB2C" w14:textId="77777777" w:rsidTr="006F2324">
        <w:tc>
          <w:tcPr>
            <w:tcW w:w="9962" w:type="dxa"/>
            <w:gridSpan w:val="5"/>
            <w:shd w:val="clear" w:color="auto" w:fill="EAEAEA"/>
          </w:tcPr>
          <w:p w14:paraId="37FDE932" w14:textId="77777777" w:rsidR="00356274" w:rsidRPr="00016974" w:rsidRDefault="00356274" w:rsidP="006F2324">
            <w:pPr>
              <w:spacing w:before="120"/>
              <w:ind w:left="57"/>
              <w:rPr>
                <w:rFonts w:asciiTheme="majorHAnsi" w:hAnsiTheme="maj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asciiTheme="majorHAnsi" w:hAnsiTheme="majorHAnsi"/>
                <w:b/>
                <w:bCs/>
                <w:sz w:val="20"/>
                <w:szCs w:val="20"/>
                <w:lang w:val="en-GB" w:bidi="ar-EG"/>
              </w:rPr>
              <w:t>1. Basic Information</w:t>
            </w:r>
          </w:p>
        </w:tc>
      </w:tr>
      <w:tr w:rsidR="00356274" w:rsidRPr="00016974" w14:paraId="059D09B2" w14:textId="77777777" w:rsidTr="006F2324">
        <w:trPr>
          <w:trHeight w:val="70"/>
        </w:trPr>
        <w:tc>
          <w:tcPr>
            <w:tcW w:w="2934" w:type="dxa"/>
            <w:vAlign w:val="center"/>
          </w:tcPr>
          <w:p w14:paraId="3635BFD1" w14:textId="0399D300" w:rsidR="00356274" w:rsidRPr="00016974" w:rsidRDefault="00356274" w:rsidP="006F2324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noProof/>
                <w:sz w:val="20"/>
                <w:szCs w:val="20"/>
                <w:rtl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0BEDA" wp14:editId="3EA68544">
                      <wp:simplePos x="0" y="0"/>
                      <wp:positionH relativeFrom="column">
                        <wp:posOffset>4411980</wp:posOffset>
                      </wp:positionH>
                      <wp:positionV relativeFrom="paragraph">
                        <wp:posOffset>93345</wp:posOffset>
                      </wp:positionV>
                      <wp:extent cx="457200" cy="228600"/>
                      <wp:effectExtent l="13335" t="7620" r="5715" b="1143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B5124" id="Rectangle 14" o:spid="_x0000_s1026" style="position:absolute;margin-left:347.4pt;margin-top:7.3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"/>
                  </w:pict>
                </mc:Fallback>
              </mc:AlternateContent>
            </w: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Semester: </w:t>
            </w:r>
            <w:r w:rsidR="00CE4693" w:rsidRPr="00CE4693">
              <w:rPr>
                <w:rFonts w:cstheme="minorHAnsi"/>
                <w:b/>
                <w:bCs/>
                <w:color w:val="FF0000"/>
                <w:sz w:val="20"/>
                <w:szCs w:val="20"/>
                <w:lang w:val="en-GB" w:bidi="ar-EG"/>
              </w:rPr>
              <w:t>??</w:t>
            </w:r>
          </w:p>
        </w:tc>
        <w:tc>
          <w:tcPr>
            <w:tcW w:w="4628" w:type="dxa"/>
            <w:gridSpan w:val="2"/>
            <w:vAlign w:val="center"/>
          </w:tcPr>
          <w:p w14:paraId="470C7DAE" w14:textId="4D9CF053" w:rsidR="00356274" w:rsidRPr="00016974" w:rsidRDefault="00356274" w:rsidP="006F2324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Title: </w:t>
            </w:r>
            <w:r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Introduction to Cultural Heritage</w:t>
            </w:r>
            <w:r w:rsidRPr="00016974">
              <w:rPr>
                <w:rFonts w:cstheme="minorHAnsi"/>
                <w:b/>
                <w:bCs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2400" w:type="dxa"/>
            <w:gridSpan w:val="2"/>
            <w:vAlign w:val="center"/>
          </w:tcPr>
          <w:p w14:paraId="453E645C" w14:textId="37C0C373" w:rsidR="00356274" w:rsidRPr="00016974" w:rsidRDefault="00356274" w:rsidP="006F2324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Code: </w:t>
            </w:r>
            <w:r w:rsidR="00CE469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 </w:t>
            </w:r>
            <w:r w:rsidR="00CE4693" w:rsidRPr="00CE469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CHE 501</w:t>
            </w:r>
          </w:p>
        </w:tc>
      </w:tr>
      <w:tr w:rsidR="00356274" w:rsidRPr="00016974" w14:paraId="641993FC" w14:textId="77777777" w:rsidTr="006F2324">
        <w:trPr>
          <w:trHeight w:val="800"/>
        </w:trPr>
        <w:tc>
          <w:tcPr>
            <w:tcW w:w="7562" w:type="dxa"/>
            <w:gridSpan w:val="3"/>
          </w:tcPr>
          <w:p w14:paraId="7489B732" w14:textId="45A44285" w:rsidR="00356274" w:rsidRPr="00016974" w:rsidRDefault="00356274" w:rsidP="006F2324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Credit hours</w:t>
            </w:r>
            <w:proofErr w:type="gramStart"/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:</w:t>
            </w:r>
            <w:r w:rsidR="00CE469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 </w:t>
            </w:r>
            <w:r w:rsidR="00CE4693" w:rsidRPr="00CE4693">
              <w:rPr>
                <w:rFonts w:cstheme="minorHAnsi"/>
                <w:b/>
                <w:bCs/>
                <w:color w:val="FF0000"/>
                <w:sz w:val="20"/>
                <w:szCs w:val="20"/>
                <w:lang w:val="en-GB" w:bidi="ar-EG"/>
              </w:rPr>
              <w:t>??</w:t>
            </w:r>
            <w:proofErr w:type="gramEnd"/>
            <w:r w:rsidRPr="00CE4693">
              <w:rPr>
                <w:rFonts w:cstheme="minorHAnsi"/>
                <w:color w:val="FF0000"/>
                <w:sz w:val="20"/>
                <w:szCs w:val="20"/>
                <w:lang w:val="en-GB" w:eastAsia="de-DE"/>
              </w:rPr>
              <w:t xml:space="preserve"> ECTS</w:t>
            </w:r>
          </w:p>
          <w:p w14:paraId="6245E895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bidi="ar-EG"/>
              </w:rPr>
              <w:t>Didactic/Tutorial: 2   Practical:</w:t>
            </w:r>
            <w:r w:rsidRPr="000169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2EF879DE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rtl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bidi="ar-EG"/>
              </w:rPr>
              <w:t xml:space="preserve">Total:  </w:t>
            </w:r>
            <w:r w:rsidRPr="00016974">
              <w:rPr>
                <w:rFonts w:asciiTheme="minorHAnsi" w:hAnsiTheme="minorHAnsi" w:cstheme="minorHAnsi"/>
                <w:sz w:val="20"/>
                <w:szCs w:val="20"/>
                <w:lang w:val="en-GB" w:bidi="ar-EG"/>
              </w:rPr>
              <w:t xml:space="preserve"> 2</w:t>
            </w: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bidi="ar-EG"/>
              </w:rPr>
              <w:t xml:space="preserve">             hour/week: </w:t>
            </w:r>
          </w:p>
        </w:tc>
        <w:tc>
          <w:tcPr>
            <w:tcW w:w="2400" w:type="dxa"/>
            <w:gridSpan w:val="2"/>
          </w:tcPr>
          <w:p w14:paraId="0D67F60B" w14:textId="77777777" w:rsidR="00356274" w:rsidRPr="00016974" w:rsidRDefault="00356274" w:rsidP="006F2324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Specialization: </w:t>
            </w:r>
          </w:p>
          <w:p w14:paraId="6856C6E8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</w:tr>
      <w:tr w:rsidR="00356274" w:rsidRPr="00016974" w14:paraId="0BFF1580" w14:textId="77777777" w:rsidTr="006F2324">
        <w:tc>
          <w:tcPr>
            <w:tcW w:w="7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9D72AD" w14:textId="37F642A8" w:rsidR="00CE4693" w:rsidRPr="00CE4693" w:rsidRDefault="00CE4693" w:rsidP="00CE469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E4693">
              <w:rPr>
                <w:rFonts w:cstheme="minorHAnsi"/>
                <w:sz w:val="20"/>
                <w:szCs w:val="20"/>
                <w:lang w:val="en-GB"/>
              </w:rPr>
              <w:t xml:space="preserve">This course </w:t>
            </w:r>
            <w:r w:rsidR="003600C1">
              <w:rPr>
                <w:rFonts w:cstheme="minorHAnsi"/>
                <w:sz w:val="20"/>
                <w:szCs w:val="20"/>
                <w:lang w:val="en-GB"/>
              </w:rPr>
              <w:t xml:space="preserve">aims to </w:t>
            </w:r>
            <w:r w:rsidRPr="00CE4693">
              <w:rPr>
                <w:rFonts w:cstheme="minorHAnsi"/>
                <w:sz w:val="20"/>
                <w:szCs w:val="20"/>
                <w:lang w:val="en-GB"/>
              </w:rPr>
              <w:t>provide an intellectual framework for understanding the concept of cultural heritage, both tangible and intangible and how it “works” in today’s world. It</w:t>
            </w:r>
            <w:r w:rsidR="003600C1">
              <w:rPr>
                <w:rFonts w:cstheme="minorHAnsi"/>
                <w:sz w:val="20"/>
                <w:szCs w:val="20"/>
                <w:lang w:val="en-GB"/>
              </w:rPr>
              <w:t xml:space="preserve"> introduces students on </w:t>
            </w:r>
            <w:r w:rsidRPr="00CE4693">
              <w:rPr>
                <w:rFonts w:cstheme="minorHAnsi"/>
                <w:sz w:val="20"/>
                <w:szCs w:val="20"/>
                <w:lang w:val="en-GB"/>
              </w:rPr>
              <w:t xml:space="preserve">how and why objects, buildings, landscapes, practices, </w:t>
            </w:r>
            <w:proofErr w:type="gramStart"/>
            <w:r w:rsidRPr="00CE4693">
              <w:rPr>
                <w:rFonts w:cstheme="minorHAnsi"/>
                <w:sz w:val="20"/>
                <w:szCs w:val="20"/>
                <w:lang w:val="en-GB"/>
              </w:rPr>
              <w:t>crafts</w:t>
            </w:r>
            <w:proofErr w:type="gramEnd"/>
            <w:r w:rsidRPr="00CE4693">
              <w:rPr>
                <w:rFonts w:cstheme="minorHAnsi"/>
                <w:sz w:val="20"/>
                <w:szCs w:val="20"/>
                <w:lang w:val="en-GB"/>
              </w:rPr>
              <w:t xml:space="preserve"> and traditions should be preserved, protected, and presented to people living today and in the future. </w:t>
            </w:r>
          </w:p>
          <w:p w14:paraId="77451E40" w14:textId="446FBB67" w:rsidR="00CE4693" w:rsidRPr="00CE4693" w:rsidRDefault="00CE4693" w:rsidP="00CE469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E4693">
              <w:rPr>
                <w:rFonts w:cstheme="minorHAnsi"/>
                <w:sz w:val="20"/>
                <w:szCs w:val="20"/>
                <w:lang w:val="en-GB"/>
              </w:rPr>
              <w:t xml:space="preserve">The course discusses the social, economic, </w:t>
            </w:r>
            <w:proofErr w:type="gramStart"/>
            <w:r w:rsidRPr="00CE4693">
              <w:rPr>
                <w:rFonts w:cstheme="minorHAnsi"/>
                <w:sz w:val="20"/>
                <w:szCs w:val="20"/>
                <w:lang w:val="en-GB"/>
              </w:rPr>
              <w:t>cultural</w:t>
            </w:r>
            <w:proofErr w:type="gramEnd"/>
            <w:r w:rsidRPr="00CE4693">
              <w:rPr>
                <w:rFonts w:cstheme="minorHAnsi"/>
                <w:sz w:val="20"/>
                <w:szCs w:val="20"/>
                <w:lang w:val="en-GB"/>
              </w:rPr>
              <w:t xml:space="preserve"> and political contexts within which heritage organizations operate and critically examine questions of authenticity and identity, ethics and international law.</w:t>
            </w:r>
            <w:r w:rsidR="003600C1">
              <w:rPr>
                <w:rFonts w:cstheme="minorHAnsi"/>
                <w:sz w:val="20"/>
                <w:szCs w:val="20"/>
                <w:lang w:val="en-GB"/>
              </w:rPr>
              <w:t xml:space="preserve"> Also, t</w:t>
            </w:r>
            <w:r w:rsidR="003600C1" w:rsidRPr="003600C1">
              <w:rPr>
                <w:rFonts w:cstheme="minorHAnsi"/>
                <w:sz w:val="20"/>
                <w:szCs w:val="20"/>
                <w:lang w:val="en-GB"/>
              </w:rPr>
              <w:t xml:space="preserve">he meaning and importance of world heritage </w:t>
            </w:r>
            <w:r w:rsidR="003600C1">
              <w:rPr>
                <w:rFonts w:cstheme="minorHAnsi"/>
                <w:sz w:val="20"/>
                <w:szCs w:val="20"/>
                <w:lang w:val="en-GB"/>
              </w:rPr>
              <w:t>will be addressed (</w:t>
            </w:r>
            <w:r w:rsidR="003600C1" w:rsidRPr="003600C1">
              <w:rPr>
                <w:rFonts w:cstheme="minorHAnsi"/>
                <w:sz w:val="20"/>
                <w:szCs w:val="20"/>
                <w:lang w:val="en-GB"/>
              </w:rPr>
              <w:t>role of the international and national bodies</w:t>
            </w:r>
            <w:r w:rsidR="003600C1">
              <w:rPr>
                <w:rFonts w:cstheme="minorHAnsi"/>
                <w:sz w:val="20"/>
                <w:szCs w:val="20"/>
                <w:lang w:val="en-GB"/>
              </w:rPr>
              <w:t>, W</w:t>
            </w:r>
            <w:r w:rsidR="003600C1" w:rsidRPr="003600C1">
              <w:rPr>
                <w:rFonts w:cstheme="minorHAnsi"/>
                <w:sz w:val="20"/>
                <w:szCs w:val="20"/>
                <w:lang w:val="en-GB"/>
              </w:rPr>
              <w:t>orld Heritage List</w:t>
            </w:r>
            <w:r w:rsidR="003600C1">
              <w:rPr>
                <w:rFonts w:cstheme="minorHAnsi"/>
                <w:sz w:val="20"/>
                <w:szCs w:val="20"/>
                <w:lang w:val="en-GB"/>
              </w:rPr>
              <w:t>).</w:t>
            </w:r>
          </w:p>
          <w:p w14:paraId="31A6816D" w14:textId="200DEA00" w:rsidR="00CE4693" w:rsidRPr="00CE4693" w:rsidRDefault="00CE4693" w:rsidP="00CE469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E4693">
              <w:rPr>
                <w:rFonts w:cstheme="minorHAnsi"/>
                <w:sz w:val="20"/>
                <w:szCs w:val="20"/>
                <w:lang w:val="en-GB"/>
              </w:rPr>
              <w:t xml:space="preserve">Students will be engaged in surveying the methods, theories and legal frameworks that shape the effort to protect, interpret and present cultural heritage today and how </w:t>
            </w:r>
            <w:proofErr w:type="gramStart"/>
            <w:r w:rsidRPr="00CE4693">
              <w:rPr>
                <w:rFonts w:cstheme="minorHAnsi"/>
                <w:sz w:val="20"/>
                <w:szCs w:val="20"/>
                <w:lang w:val="en-GB"/>
              </w:rPr>
              <w:t>these impact</w:t>
            </w:r>
            <w:proofErr w:type="gramEnd"/>
            <w:r w:rsidRPr="00CE4693">
              <w:rPr>
                <w:rFonts w:cstheme="minorHAnsi"/>
                <w:sz w:val="20"/>
                <w:szCs w:val="20"/>
                <w:lang w:val="en-GB"/>
              </w:rPr>
              <w:t xml:space="preserve"> modern society. </w:t>
            </w:r>
          </w:p>
          <w:p w14:paraId="444F255B" w14:textId="1724F765" w:rsidR="00356274" w:rsidRPr="003600C1" w:rsidRDefault="00CE4693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</w:rPr>
            </w:pPr>
            <w:r w:rsidRPr="00A6366A">
              <w:rPr>
                <w:rFonts w:cstheme="minorHAnsi"/>
                <w:sz w:val="20"/>
                <w:szCs w:val="20"/>
                <w:lang w:val="en-GB"/>
              </w:rPr>
              <w:t xml:space="preserve">Additionally, the course will explore modern threats to cultural heritage such as armed conflict, environmental degradation, uncontrolled development, </w:t>
            </w:r>
            <w:proofErr w:type="gramStart"/>
            <w:r w:rsidRPr="00A6366A">
              <w:rPr>
                <w:rFonts w:cstheme="minorHAnsi"/>
                <w:sz w:val="20"/>
                <w:szCs w:val="20"/>
                <w:lang w:val="en-GB"/>
              </w:rPr>
              <w:t>vandalism</w:t>
            </w:r>
            <w:proofErr w:type="gramEnd"/>
            <w:r w:rsidRPr="00A6366A">
              <w:rPr>
                <w:rFonts w:cstheme="minorHAnsi"/>
                <w:sz w:val="20"/>
                <w:szCs w:val="20"/>
                <w:lang w:val="en-GB"/>
              </w:rPr>
              <w:t xml:space="preserve"> and illicit trafficking and discusses the roles and responsibilities of both governments and communities.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B58E2BC" w14:textId="77777777" w:rsidR="00356274" w:rsidRPr="00016974" w:rsidRDefault="00356274" w:rsidP="006F232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2. Module objectives: </w:t>
            </w:r>
          </w:p>
        </w:tc>
      </w:tr>
      <w:tr w:rsidR="00356274" w:rsidRPr="00016974" w14:paraId="19ECE2E2" w14:textId="77777777" w:rsidTr="006F2324">
        <w:trPr>
          <w:trHeight w:val="70"/>
        </w:trPr>
        <w:tc>
          <w:tcPr>
            <w:tcW w:w="9962" w:type="dxa"/>
            <w:gridSpan w:val="5"/>
            <w:shd w:val="clear" w:color="auto" w:fill="F3F3F3"/>
          </w:tcPr>
          <w:p w14:paraId="53E882C0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3.</w:t>
            </w:r>
            <w:r w:rsidRPr="00016974"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  <w:t xml:space="preserve"> </w:t>
            </w: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Intended Learning Outcomes (ILOs)</w:t>
            </w:r>
          </w:p>
        </w:tc>
      </w:tr>
      <w:tr w:rsidR="00356274" w:rsidRPr="00016974" w14:paraId="1C4101C5" w14:textId="77777777" w:rsidTr="006F2324">
        <w:trPr>
          <w:trHeight w:val="2070"/>
        </w:trPr>
        <w:tc>
          <w:tcPr>
            <w:tcW w:w="7562" w:type="dxa"/>
            <w:gridSpan w:val="3"/>
          </w:tcPr>
          <w:p w14:paraId="2FC8B77E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46"/>
            </w:tblGrid>
            <w:tr w:rsidR="00356274" w:rsidRPr="00016974" w14:paraId="06C2E6C4" w14:textId="77777777" w:rsidTr="006F2324">
              <w:trPr>
                <w:trHeight w:val="109"/>
              </w:trPr>
              <w:tc>
                <w:tcPr>
                  <w:tcW w:w="0" w:type="auto"/>
                </w:tcPr>
                <w:p w14:paraId="423429E0" w14:textId="77777777" w:rsidR="00356274" w:rsidRPr="00016974" w:rsidRDefault="00356274" w:rsidP="006F2324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  <w:lang w:val="en-GB" w:eastAsia="de-DE"/>
                    </w:rPr>
                  </w:pPr>
                  <w:r w:rsidRPr="00016974">
                    <w:rPr>
                      <w:rFonts w:asciiTheme="minorHAnsi" w:hAnsiTheme="minorHAnsi" w:cstheme="minorHAnsi"/>
                      <w:sz w:val="20"/>
                      <w:szCs w:val="20"/>
                      <w:lang w:val="en-GB" w:eastAsia="de-DE"/>
                    </w:rPr>
                    <w:t xml:space="preserve">At the end of this course, the student should be able to: </w:t>
                  </w:r>
                </w:p>
                <w:p w14:paraId="66374CB1" w14:textId="4D3569E3" w:rsidR="00356274" w:rsidRDefault="00356274" w:rsidP="003562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a.</w:t>
                  </w:r>
                  <w:r w:rsidR="003600C1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1 </w:t>
                  </w:r>
                  <w:proofErr w:type="gramStart"/>
                  <w:r w:rsidR="003600C1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have</w:t>
                  </w:r>
                  <w:proofErr w:type="gramEnd"/>
                  <w:r w:rsidR="003600C1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a clear understanding of what cultural &amp; world heritage consists of, the several types of heritage and how they relate to one another</w:t>
                  </w:r>
                  <w:r w:rsidR="000C75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(especially the difference between tangible &amp; intangible, and types of heritage not previously addressed in heritage studies in Egypt)</w:t>
                  </w:r>
                </w:p>
                <w:p w14:paraId="476B913A" w14:textId="14BFA21D" w:rsidR="003600C1" w:rsidRDefault="003600C1" w:rsidP="003562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a.2. understand the need for protecting cultural heritage &amp; know which international/ national bodies exist, how they </w:t>
                  </w:r>
                  <w:r w:rsidR="003F32D2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operate,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and which are the </w:t>
                  </w:r>
                  <w:r w:rsidR="003F32D2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guidelines on heritage protection provided by international charters</w:t>
                  </w:r>
                </w:p>
                <w:p w14:paraId="16BAE411" w14:textId="152C118B" w:rsidR="003F32D2" w:rsidRDefault="003F32D2" w:rsidP="003562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a.3. be acquainted with the World Heritage List and the</w:t>
                  </w:r>
                  <w:r w:rsidRPr="003F32D2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criteria for inclusion</w:t>
                  </w:r>
                </w:p>
                <w:p w14:paraId="6CD9356D" w14:textId="0E8B7D51" w:rsidR="003F32D2" w:rsidRDefault="003F32D2" w:rsidP="003562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a.4. </w:t>
                  </w:r>
                  <w:r w:rsidRPr="003F32D2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understand the historical, social, cultural, </w:t>
                  </w:r>
                  <w:proofErr w:type="gramStart"/>
                  <w:r w:rsidRPr="003F32D2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political</w:t>
                  </w:r>
                  <w:proofErr w:type="gramEnd"/>
                  <w:r w:rsidRPr="003F32D2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and economic contexts of 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heritage</w:t>
                  </w:r>
                </w:p>
                <w:p w14:paraId="185334F7" w14:textId="671DFC56" w:rsidR="003F32D2" w:rsidRDefault="003F32D2" w:rsidP="003562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a.5. </w:t>
                  </w:r>
                  <w:r w:rsidR="000C75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be 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famil</w:t>
                  </w:r>
                  <w:r w:rsidR="000C75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iar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with theoretical aspects of cultural heritage such as the issues of authenticity, </w:t>
                  </w:r>
                  <w:proofErr w:type="gramStart"/>
                  <w:r w:rsidR="000C75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ethics</w:t>
                  </w:r>
                  <w:proofErr w:type="gramEnd"/>
                  <w:r w:rsidR="000C75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and intangible heritage</w:t>
                  </w:r>
                </w:p>
                <w:p w14:paraId="580F90EA" w14:textId="77777777" w:rsidR="000C7574" w:rsidRDefault="000C7574" w:rsidP="003562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 w:rsidRPr="000C75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a.6 be informed about modern threats to cultural heritage &amp; will be able to understand them, identifying them and find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ing possible ways of tackling such problems</w:t>
                  </w:r>
                </w:p>
                <w:p w14:paraId="329A1755" w14:textId="1268F6E2" w:rsidR="003F32D2" w:rsidRDefault="000C7574" w:rsidP="003562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a.7 </w:t>
                  </w:r>
                  <w:proofErr w:type="gramStart"/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have</w:t>
                  </w:r>
                  <w:proofErr w:type="gramEnd"/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gained basic knowledge on heritage documentation methods </w:t>
                  </w:r>
                </w:p>
                <w:p w14:paraId="528E4A33" w14:textId="77777777" w:rsidR="000C7574" w:rsidRPr="000C7574" w:rsidRDefault="000C7574" w:rsidP="0035627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</w:p>
                <w:p w14:paraId="2BA2271A" w14:textId="1DE97199" w:rsidR="00356274" w:rsidRPr="00016974" w:rsidRDefault="00356274" w:rsidP="006F2324">
                  <w:pPr>
                    <w:pStyle w:val="Default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val="en-GB" w:eastAsia="de-DE"/>
                    </w:rPr>
                  </w:pPr>
                </w:p>
              </w:tc>
            </w:tr>
          </w:tbl>
          <w:p w14:paraId="7E1BAA44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2400" w:type="dxa"/>
            <w:gridSpan w:val="2"/>
          </w:tcPr>
          <w:p w14:paraId="065FF455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2A2D1DA6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a. Knowledge and understanding: </w:t>
            </w:r>
          </w:p>
          <w:p w14:paraId="1FD728B2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sz w:val="20"/>
                <w:szCs w:val="20"/>
                <w:rtl/>
                <w:lang w:val="en-GB"/>
              </w:rPr>
            </w:pPr>
          </w:p>
        </w:tc>
      </w:tr>
      <w:tr w:rsidR="00356274" w:rsidRPr="00016974" w14:paraId="49A84E8B" w14:textId="77777777" w:rsidTr="006F2324">
        <w:trPr>
          <w:gridAfter w:val="1"/>
          <w:wAfter w:w="17" w:type="dxa"/>
          <w:trHeight w:val="2690"/>
        </w:trPr>
        <w:tc>
          <w:tcPr>
            <w:tcW w:w="7515" w:type="dxa"/>
            <w:gridSpan w:val="2"/>
          </w:tcPr>
          <w:p w14:paraId="04ED9286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9"/>
            </w:tblGrid>
            <w:tr w:rsidR="00356274" w:rsidRPr="00016974" w14:paraId="135A21ED" w14:textId="77777777" w:rsidTr="006F2324">
              <w:trPr>
                <w:trHeight w:val="109"/>
              </w:trPr>
              <w:tc>
                <w:tcPr>
                  <w:tcW w:w="0" w:type="auto"/>
                </w:tcPr>
                <w:p w14:paraId="291ADBBF" w14:textId="77777777" w:rsidR="00356274" w:rsidRPr="00016974" w:rsidRDefault="00356274" w:rsidP="006F2324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At the end of this course, the student should be able to:</w:t>
                  </w:r>
                </w:p>
                <w:p w14:paraId="066D09A7" w14:textId="65CE5FAE" w:rsidR="00356274" w:rsidRPr="00016974" w:rsidRDefault="00356274" w:rsidP="006F232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/>
                    </w:rPr>
                    <w:t>b.1</w:t>
                  </w: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. critically prioritise and recognise challenges of public concern regarding </w:t>
                  </w:r>
                  <w:r w:rsidR="003F14F5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cultural herit</w:t>
                  </w:r>
                  <w:r w:rsidR="00515250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a</w:t>
                  </w:r>
                  <w:r w:rsidR="003F14F5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ge</w:t>
                  </w: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</w:t>
                  </w:r>
                </w:p>
                <w:p w14:paraId="2018084A" w14:textId="0E61C5CC" w:rsidR="00356274" w:rsidRPr="00016974" w:rsidRDefault="00356274" w:rsidP="006F2324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b.2. discern through different approaches in </w:t>
                  </w:r>
                  <w:r w:rsidR="00515250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cultural </w:t>
                  </w: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heritage</w:t>
                  </w:r>
                  <w:r w:rsidR="00515250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protection </w:t>
                  </w: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in national and international level</w:t>
                  </w:r>
                </w:p>
                <w:p w14:paraId="5502B056" w14:textId="5B149670" w:rsidR="00356274" w:rsidRPr="00016974" w:rsidRDefault="00356274" w:rsidP="006F2324">
                  <w:pPr>
                    <w:pStyle w:val="Default"/>
                    <w:ind w:right="-379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b.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3</w:t>
                  </w: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</w:t>
                  </w:r>
                  <w:proofErr w:type="gramStart"/>
                  <w:r w:rsidR="00515250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have</w:t>
                  </w:r>
                  <w:proofErr w:type="gramEnd"/>
                  <w:r w:rsidR="00515250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</w:t>
                  </w: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the necessary cognitive skills related to the cultural values embedded in</w:t>
                  </w:r>
                  <w:r w:rsidR="00515250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different types of heritage </w:t>
                  </w: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for different cultural</w:t>
                  </w:r>
                  <w:r w:rsidR="00515250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&amp; social</w:t>
                  </w: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groups</w:t>
                  </w:r>
                </w:p>
                <w:p w14:paraId="6333A895" w14:textId="58481EB0" w:rsidR="00356274" w:rsidRDefault="00356274" w:rsidP="006F2324">
                  <w:pPr>
                    <w:pStyle w:val="Default"/>
                    <w:ind w:right="-33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b.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4</w:t>
                  </w:r>
                  <w:r w:rsidRPr="0001697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. </w:t>
                  </w:r>
                  <w:r w:rsidR="00515250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demonstrate knowledge of the development of the history and theory of cultural heritage appreciation and protection through comparative analysis of differing and evolving philosophies</w:t>
                  </w:r>
                </w:p>
                <w:p w14:paraId="61CE1BBB" w14:textId="2159D731" w:rsidR="00515250" w:rsidRPr="00016974" w:rsidRDefault="00515250" w:rsidP="006F2324">
                  <w:pPr>
                    <w:pStyle w:val="Default"/>
                    <w:ind w:right="-33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b.5 </w:t>
                  </w:r>
                  <w:proofErr w:type="gramStart"/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>discuss</w:t>
                  </w:r>
                  <w:proofErr w:type="gramEnd"/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 w:eastAsia="de-DE"/>
                    </w:rPr>
                    <w:t xml:space="preserve"> and defend theoretical positions relating to ethical or economic positions regarding heritage with reference to established criteria as well as emerging challenges in terms of broad principles</w:t>
                  </w:r>
                </w:p>
                <w:p w14:paraId="4FD7580F" w14:textId="4B06C9CB" w:rsidR="00356274" w:rsidRPr="00016974" w:rsidRDefault="001B4CC4" w:rsidP="006F2324">
                  <w:pPr>
                    <w:pStyle w:val="Default"/>
                    <w:ind w:right="-379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b.6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learn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to appreciate and articulate in practical &amp; conceptual terms the circumstances of change and the values of the physical or tangible heritage and to construct effective arguments and strategies to address such problems</w:t>
                  </w:r>
                </w:p>
              </w:tc>
            </w:tr>
          </w:tbl>
          <w:p w14:paraId="03D438D9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2430" w:type="dxa"/>
            <w:gridSpan w:val="2"/>
          </w:tcPr>
          <w:p w14:paraId="7F9595B3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289CEF10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b. Intellectual Skills: </w:t>
            </w:r>
          </w:p>
          <w:p w14:paraId="278BF62E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  <w:p w14:paraId="3F70137C" w14:textId="77777777" w:rsidR="00356274" w:rsidRPr="00016974" w:rsidRDefault="00356274" w:rsidP="006F2324">
            <w:pPr>
              <w:keepNext/>
              <w:tabs>
                <w:tab w:val="left" w:pos="320"/>
                <w:tab w:val="left" w:leader="dot" w:pos="5902"/>
              </w:tabs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  <w:lang w:val="en-GB"/>
              </w:rPr>
            </w:pPr>
          </w:p>
        </w:tc>
      </w:tr>
      <w:tr w:rsidR="00356274" w:rsidRPr="00016974" w14:paraId="3E343159" w14:textId="77777777" w:rsidTr="006F2324">
        <w:trPr>
          <w:gridAfter w:val="1"/>
          <w:wAfter w:w="17" w:type="dxa"/>
        </w:trPr>
        <w:tc>
          <w:tcPr>
            <w:tcW w:w="7515" w:type="dxa"/>
            <w:gridSpan w:val="2"/>
          </w:tcPr>
          <w:p w14:paraId="58DA03CF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9"/>
            </w:tblGrid>
            <w:tr w:rsidR="00356274" w:rsidRPr="00016974" w14:paraId="35EA0539" w14:textId="77777777" w:rsidTr="006F2324">
              <w:trPr>
                <w:trHeight w:val="109"/>
              </w:trPr>
              <w:tc>
                <w:tcPr>
                  <w:tcW w:w="0" w:type="auto"/>
                </w:tcPr>
                <w:p w14:paraId="3ED109D2" w14:textId="77777777" w:rsidR="00356274" w:rsidRPr="00016974" w:rsidRDefault="00356274" w:rsidP="006F2324">
                  <w:pPr>
                    <w:pStyle w:val="Default"/>
                    <w:ind w:left="13" w:hanging="13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n-GB"/>
                    </w:rPr>
                    <w:t xml:space="preserve">At the end of this course, the student should be able to: </w:t>
                  </w:r>
                </w:p>
                <w:p w14:paraId="74728D29" w14:textId="56593557" w:rsidR="00356274" w:rsidRPr="00016974" w:rsidRDefault="00356274" w:rsidP="006F23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" w:right="96" w:hanging="13"/>
                    <w:contextualSpacing/>
                    <w:jc w:val="both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c.1 </w:t>
                  </w:r>
                  <w:proofErr w:type="gramStart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>engage</w:t>
                  </w:r>
                  <w:proofErr w:type="gramEnd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critically and independently with the theoretical and practical challenges related to </w:t>
                  </w:r>
                  <w:r w:rsidR="003937EC">
                    <w:rPr>
                      <w:rFonts w:cstheme="minorHAnsi"/>
                      <w:sz w:val="20"/>
                      <w:szCs w:val="20"/>
                      <w:lang w:val="en-GB"/>
                    </w:rPr>
                    <w:t>cultural heritage</w:t>
                  </w:r>
                </w:p>
                <w:p w14:paraId="699E4FDC" w14:textId="77777777" w:rsidR="00356274" w:rsidRPr="00016974" w:rsidRDefault="00356274" w:rsidP="006F23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" w:hanging="13"/>
                    <w:contextualSpacing/>
                    <w:jc w:val="both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c.2 </w:t>
                  </w:r>
                  <w:proofErr w:type="gramStart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>apply</w:t>
                  </w:r>
                  <w:proofErr w:type="gramEnd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wide-ranging approaches, ideas and data into comprehensible and effective arguments in his/her written work</w:t>
                  </w:r>
                </w:p>
                <w:p w14:paraId="10D415B8" w14:textId="77777777" w:rsidR="003937EC" w:rsidRDefault="00356274" w:rsidP="006F2324">
                  <w:pPr>
                    <w:contextualSpacing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>c.</w:t>
                  </w:r>
                  <w:r w:rsidR="003937EC">
                    <w:rPr>
                      <w:rFonts w:cstheme="minorHAnsi"/>
                      <w:sz w:val="20"/>
                      <w:szCs w:val="20"/>
                      <w:lang w:val="en-GB"/>
                    </w:rPr>
                    <w:t>3</w:t>
                  </w:r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gramStart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>apply</w:t>
                  </w:r>
                  <w:proofErr w:type="gramEnd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a broad and efficient body of knowledge of the ethical and legal frameworks for research and professional practice</w:t>
                  </w:r>
                </w:p>
                <w:p w14:paraId="56067D74" w14:textId="52294536" w:rsidR="00356274" w:rsidRPr="00016974" w:rsidRDefault="003937EC" w:rsidP="006F2324">
                  <w:pPr>
                    <w:contextualSpacing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c.5 </w:t>
                  </w:r>
                  <w:proofErr w:type="gramStart"/>
                  <w:r>
                    <w:rPr>
                      <w:rFonts w:cstheme="minorHAnsi"/>
                      <w:sz w:val="20"/>
                      <w:szCs w:val="20"/>
                      <w:lang w:val="en-GB"/>
                    </w:rPr>
                    <w:t>de</w:t>
                  </w:r>
                  <w:r w:rsidR="00356274"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>monstrate</w:t>
                  </w:r>
                  <w:proofErr w:type="gramEnd"/>
                  <w:r w:rsidR="00356274"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independence and initiative in the conception and implementation of research projects in cultural heritage.</w:t>
                  </w:r>
                </w:p>
                <w:p w14:paraId="5207A833" w14:textId="337B90F7" w:rsidR="00356274" w:rsidRDefault="00356274" w:rsidP="006F2324">
                  <w:pPr>
                    <w:contextualSpacing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c.6 </w:t>
                  </w:r>
                  <w:proofErr w:type="gramStart"/>
                  <w:r w:rsidR="003937EC">
                    <w:rPr>
                      <w:rFonts w:cstheme="minorHAnsi"/>
                      <w:sz w:val="20"/>
                      <w:szCs w:val="20"/>
                      <w:lang w:val="en-GB"/>
                    </w:rPr>
                    <w:t>enhance</w:t>
                  </w:r>
                  <w:proofErr w:type="gramEnd"/>
                  <w:r w:rsidR="003937EC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and improve their ability to make judgements of appropriateness in particular circumstances</w:t>
                  </w:r>
                </w:p>
                <w:p w14:paraId="26752075" w14:textId="0C3E02A4" w:rsidR="003937EC" w:rsidRDefault="003937EC" w:rsidP="006F2324">
                  <w:pPr>
                    <w:contextualSpacing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c.7 develop &amp; apply a practical knowledge of cultural heritage theories &amp; documentation methods that will allow him/her to address certain projects with confidence and effectiveness  </w:t>
                  </w:r>
                </w:p>
                <w:p w14:paraId="41F80A58" w14:textId="680EF956" w:rsidR="003937EC" w:rsidRPr="00016974" w:rsidRDefault="003937EC" w:rsidP="006F2324">
                  <w:pPr>
                    <w:contextualSpacing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c.8 </w:t>
                  </w:r>
                  <w:proofErr w:type="gramStart"/>
                  <w:r w:rsidR="001B4CC4">
                    <w:rPr>
                      <w:rFonts w:cstheme="minorHAnsi"/>
                      <w:sz w:val="20"/>
                      <w:szCs w:val="20"/>
                      <w:lang w:val="en-GB"/>
                    </w:rPr>
                    <w:t>develop</w:t>
                  </w:r>
                  <w:proofErr w:type="gramEnd"/>
                  <w:r w:rsidR="001B4CC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a conceptual framework that will enable him/her to continue inquiries into cultural &amp; world heritage beyond the limits of the module and into their professional careers.</w:t>
                  </w:r>
                </w:p>
                <w:p w14:paraId="0ACC9D4C" w14:textId="77777777" w:rsidR="00356274" w:rsidRPr="00016974" w:rsidRDefault="00356274" w:rsidP="006F2324">
                  <w:pPr>
                    <w:pStyle w:val="Default"/>
                    <w:ind w:left="13" w:hanging="13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/>
                    </w:rPr>
                  </w:pPr>
                </w:p>
                <w:p w14:paraId="66BB2E3F" w14:textId="77777777" w:rsidR="00356274" w:rsidRPr="00016974" w:rsidRDefault="00356274" w:rsidP="006F2324">
                  <w:pPr>
                    <w:pStyle w:val="Default"/>
                    <w:ind w:left="13" w:hanging="13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DD7297B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2430" w:type="dxa"/>
            <w:gridSpan w:val="2"/>
          </w:tcPr>
          <w:p w14:paraId="725F425A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4B815B79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c. Professional and Practical Skills: </w:t>
            </w:r>
          </w:p>
          <w:p w14:paraId="3C9F16A3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</w:p>
        </w:tc>
      </w:tr>
      <w:tr w:rsidR="00356274" w:rsidRPr="00016974" w14:paraId="4CA578A0" w14:textId="77777777" w:rsidTr="006F2324">
        <w:trPr>
          <w:gridAfter w:val="1"/>
          <w:wAfter w:w="17" w:type="dxa"/>
          <w:trHeight w:val="2717"/>
        </w:trPr>
        <w:tc>
          <w:tcPr>
            <w:tcW w:w="7515" w:type="dxa"/>
            <w:gridSpan w:val="2"/>
          </w:tcPr>
          <w:p w14:paraId="7355FDC5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9"/>
            </w:tblGrid>
            <w:tr w:rsidR="00356274" w:rsidRPr="00016974" w14:paraId="64687336" w14:textId="77777777" w:rsidTr="006F2324">
              <w:trPr>
                <w:trHeight w:val="109"/>
              </w:trPr>
              <w:tc>
                <w:tcPr>
                  <w:tcW w:w="0" w:type="auto"/>
                </w:tcPr>
                <w:p w14:paraId="44F5519F" w14:textId="77777777" w:rsidR="00356274" w:rsidRPr="00016974" w:rsidRDefault="00356274" w:rsidP="006F2324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At the end of this course, the student should be able to:</w:t>
                  </w:r>
                </w:p>
                <w:p w14:paraId="12491FB3" w14:textId="77777777" w:rsidR="00356274" w:rsidRPr="00016974" w:rsidRDefault="00356274" w:rsidP="006F23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d.1 </w:t>
                  </w:r>
                  <w:proofErr w:type="gramStart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>search</w:t>
                  </w:r>
                  <w:proofErr w:type="gramEnd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and review primary and secondary sources effectively</w:t>
                  </w:r>
                </w:p>
                <w:p w14:paraId="1A51CED3" w14:textId="508D1706" w:rsidR="00356274" w:rsidRPr="00016974" w:rsidRDefault="00356274" w:rsidP="006F23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d.2 </w:t>
                  </w:r>
                  <w:proofErr w:type="gramStart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>Collaborate  with</w:t>
                  </w:r>
                  <w:proofErr w:type="gramEnd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his/her colleagues in group tasks and projects.</w:t>
                  </w:r>
                </w:p>
                <w:p w14:paraId="4F78425A" w14:textId="77777777" w:rsidR="00356274" w:rsidRPr="00016974" w:rsidRDefault="00356274" w:rsidP="006F23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d.3 Write an academic report/ essay using the standard and state of the art techniques </w:t>
                  </w:r>
                  <w:proofErr w:type="gramStart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>according</w:t>
                  </w:r>
                  <w:proofErr w:type="gramEnd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the imperatives and ethics of public disclosure regarding heritage. </w:t>
                  </w:r>
                </w:p>
                <w:p w14:paraId="53965E65" w14:textId="77777777" w:rsidR="00356274" w:rsidRPr="00016974" w:rsidRDefault="00356274" w:rsidP="006F23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d.4 Develop and assess ideas, </w:t>
                  </w:r>
                  <w:proofErr w:type="gramStart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>arguments</w:t>
                  </w:r>
                  <w:proofErr w:type="gramEnd"/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and discussions efficiently in oral and written tasks.</w:t>
                  </w:r>
                </w:p>
                <w:p w14:paraId="09B912BA" w14:textId="77777777" w:rsidR="00356274" w:rsidRDefault="00356274" w:rsidP="006F23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016974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d.5 Use the internet effectively to collect data, resources, case studies and software’s related to subject. </w:t>
                  </w:r>
                </w:p>
                <w:p w14:paraId="4AB03184" w14:textId="5504D972" w:rsidR="001B4CC4" w:rsidRPr="00016974" w:rsidRDefault="001B4CC4" w:rsidP="006F23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d.6 </w:t>
                  </w:r>
                  <w:proofErr w:type="gramStart"/>
                  <w:r>
                    <w:rPr>
                      <w:rFonts w:cstheme="minorHAnsi"/>
                      <w:sz w:val="20"/>
                      <w:szCs w:val="20"/>
                      <w:lang w:val="en-GB"/>
                    </w:rPr>
                    <w:t>use</w:t>
                  </w:r>
                  <w:proofErr w:type="gramEnd"/>
                  <w:r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specific software &amp; modern equipment for heritage documentation</w:t>
                  </w:r>
                </w:p>
              </w:tc>
            </w:tr>
          </w:tbl>
          <w:p w14:paraId="1618CBCA" w14:textId="77777777" w:rsidR="00356274" w:rsidRPr="00016974" w:rsidRDefault="00356274" w:rsidP="006F2324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2430" w:type="dxa"/>
            <w:gridSpan w:val="2"/>
          </w:tcPr>
          <w:p w14:paraId="504ED0CF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 w:bidi="ar-EG"/>
              </w:rPr>
            </w:pPr>
          </w:p>
          <w:p w14:paraId="7AAD7986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d. General and Transferable Skills: </w:t>
            </w:r>
          </w:p>
          <w:p w14:paraId="6C1C1232" w14:textId="77777777" w:rsidR="00356274" w:rsidRPr="00016974" w:rsidRDefault="00356274" w:rsidP="006F2324">
            <w:pPr>
              <w:shd w:val="clear" w:color="auto" w:fill="FFFFFF"/>
              <w:bidi/>
              <w:spacing w:after="0" w:line="240" w:lineRule="auto"/>
              <w:jc w:val="lowKashida"/>
              <w:rPr>
                <w:rFonts w:cstheme="minorHAnsi"/>
                <w:sz w:val="20"/>
                <w:szCs w:val="20"/>
                <w:rtl/>
                <w:lang w:val="en-GB"/>
              </w:rPr>
            </w:pPr>
          </w:p>
          <w:p w14:paraId="0BF30692" w14:textId="77777777" w:rsidR="00356274" w:rsidRPr="00016974" w:rsidRDefault="00356274" w:rsidP="006F2324">
            <w:pPr>
              <w:shd w:val="clear" w:color="auto" w:fill="FFFFFF"/>
              <w:bidi/>
              <w:spacing w:after="0" w:line="240" w:lineRule="auto"/>
              <w:jc w:val="lowKashida"/>
              <w:rPr>
                <w:rFonts w:cstheme="minorHAnsi"/>
                <w:sz w:val="20"/>
                <w:szCs w:val="20"/>
                <w:rtl/>
                <w:lang w:val="en-GB"/>
              </w:rPr>
            </w:pPr>
          </w:p>
          <w:p w14:paraId="054FD301" w14:textId="77777777" w:rsidR="00356274" w:rsidRPr="00016974" w:rsidRDefault="00356274" w:rsidP="006F2324">
            <w:pPr>
              <w:shd w:val="clear" w:color="auto" w:fill="FFFFFF"/>
              <w:bidi/>
              <w:spacing w:after="0" w:line="240" w:lineRule="auto"/>
              <w:jc w:val="lowKashida"/>
              <w:rPr>
                <w:rFonts w:cstheme="minorHAnsi"/>
                <w:sz w:val="20"/>
                <w:szCs w:val="20"/>
                <w:rtl/>
                <w:lang w:val="en-GB"/>
              </w:rPr>
            </w:pPr>
          </w:p>
          <w:p w14:paraId="625E772C" w14:textId="77777777" w:rsidR="00356274" w:rsidRPr="00016974" w:rsidRDefault="00356274" w:rsidP="006F2324">
            <w:pPr>
              <w:shd w:val="clear" w:color="auto" w:fill="FFFFFF"/>
              <w:bidi/>
              <w:spacing w:after="0" w:line="240" w:lineRule="auto"/>
              <w:jc w:val="lowKashida"/>
              <w:rPr>
                <w:rFonts w:cstheme="minorHAnsi"/>
                <w:sz w:val="20"/>
                <w:szCs w:val="20"/>
                <w:rtl/>
                <w:lang w:val="en-GB"/>
              </w:rPr>
            </w:pPr>
          </w:p>
          <w:p w14:paraId="5D0EBA75" w14:textId="77777777" w:rsidR="00356274" w:rsidRPr="00016974" w:rsidRDefault="00356274" w:rsidP="006F2324">
            <w:pPr>
              <w:shd w:val="clear" w:color="auto" w:fill="FFFFFF"/>
              <w:bidi/>
              <w:spacing w:after="0" w:line="240" w:lineRule="auto"/>
              <w:jc w:val="lowKashida"/>
              <w:rPr>
                <w:rFonts w:cstheme="minorHAnsi"/>
                <w:sz w:val="20"/>
                <w:szCs w:val="20"/>
                <w:rtl/>
                <w:lang w:val="en-GB"/>
              </w:rPr>
            </w:pPr>
          </w:p>
          <w:p w14:paraId="191414CA" w14:textId="77777777" w:rsidR="00356274" w:rsidRPr="00016974" w:rsidRDefault="00356274" w:rsidP="006F2324">
            <w:pPr>
              <w:shd w:val="clear" w:color="auto" w:fill="FFFFFF"/>
              <w:bidi/>
              <w:spacing w:after="0" w:line="240" w:lineRule="auto"/>
              <w:jc w:val="lowKashida"/>
              <w:rPr>
                <w:rFonts w:cstheme="minorHAnsi"/>
                <w:sz w:val="20"/>
                <w:szCs w:val="20"/>
                <w:rtl/>
                <w:lang w:val="en-GB"/>
              </w:rPr>
            </w:pPr>
          </w:p>
          <w:p w14:paraId="326E4DA5" w14:textId="77777777" w:rsidR="00356274" w:rsidRPr="00016974" w:rsidRDefault="00356274" w:rsidP="006F2324">
            <w:pPr>
              <w:shd w:val="clear" w:color="auto" w:fill="FFFFFF"/>
              <w:bidi/>
              <w:spacing w:after="0" w:line="240" w:lineRule="auto"/>
              <w:jc w:val="lowKashida"/>
              <w:rPr>
                <w:rFonts w:cstheme="minorHAnsi"/>
                <w:sz w:val="20"/>
                <w:szCs w:val="20"/>
                <w:rtl/>
                <w:lang w:val="en-GB"/>
              </w:rPr>
            </w:pPr>
          </w:p>
        </w:tc>
      </w:tr>
      <w:tr w:rsidR="00356274" w:rsidRPr="00016974" w14:paraId="4C0993CF" w14:textId="77777777" w:rsidTr="006F2324">
        <w:trPr>
          <w:gridAfter w:val="1"/>
          <w:wAfter w:w="17" w:type="dxa"/>
        </w:trPr>
        <w:tc>
          <w:tcPr>
            <w:tcW w:w="7515" w:type="dxa"/>
            <w:gridSpan w:val="2"/>
          </w:tcPr>
          <w:p w14:paraId="54F1BF96" w14:textId="4749386C" w:rsidR="00A6366A" w:rsidRPr="005213E3" w:rsidRDefault="005213E3" w:rsidP="00A6366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  <w:r w:rsidRPr="005213E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Subm</w:t>
            </w:r>
            <w:r w:rsidR="00A6366A" w:rsidRPr="005213E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odule 1: The concept of Cultural Heritage</w:t>
            </w:r>
          </w:p>
          <w:p w14:paraId="594FBA41" w14:textId="63D4CFD6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lastRenderedPageBreak/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 xml:space="preserve">Definitions and basic principles (what </w:t>
            </w:r>
            <w:proofErr w:type="gramStart"/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is</w:t>
            </w:r>
            <w:proofErr w:type="gramEnd"/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 xml:space="preserve"> cultural heritage, tangible and intangible heritage, types of heritage, why we study cultural heritage)</w:t>
            </w:r>
          </w:p>
          <w:p w14:paraId="62A92481" w14:textId="0E4FE64E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Types of heritage: Industrial Heritage,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Architectural Heritage,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 xml:space="preserve">Natural Heritage etc. </w:t>
            </w:r>
          </w:p>
          <w:p w14:paraId="0DEA615A" w14:textId="080672A8" w:rsidR="00A6366A" w:rsidRPr="005213E3" w:rsidRDefault="00A6366A" w:rsidP="00A6366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="005213E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Submodule </w:t>
            </w:r>
            <w:r w:rsidRPr="005213E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2: Protection and preservation of Cultural Heritage</w:t>
            </w:r>
          </w:p>
          <w:p w14:paraId="73A5702A" w14:textId="351CC63C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How ideas on cultural heritage changed over time: from antiquity to the present.</w:t>
            </w:r>
          </w:p>
          <w:p w14:paraId="2CCCFD7C" w14:textId="5DCFBFEF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 xml:space="preserve"> I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nternational charters and institutions for the protection of cultural heritage.</w:t>
            </w:r>
          </w:p>
          <w:p w14:paraId="4F254C32" w14:textId="1FD8C8A4" w:rsid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World Heritage: UNESCO, list of world heritage, criteria for inclusion.</w:t>
            </w:r>
          </w:p>
          <w:p w14:paraId="64E9054F" w14:textId="23752913" w:rsidR="00A6366A" w:rsidRPr="005213E3" w:rsidRDefault="005213E3" w:rsidP="00A6366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  <w:r w:rsidRPr="005213E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Subm</w:t>
            </w:r>
            <w:r w:rsidR="00A6366A" w:rsidRPr="005213E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odule 3: Theoretical aspects of heritage</w:t>
            </w:r>
          </w:p>
          <w:p w14:paraId="5A7D9E29" w14:textId="4A2A0775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Heritage and Authenticity: discussion on authenticity of artefacts and monuments, in relation to international charters, examples.</w:t>
            </w:r>
          </w:p>
          <w:p w14:paraId="20296B68" w14:textId="7486675E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Ethics and intangible heritage</w:t>
            </w:r>
          </w:p>
          <w:p w14:paraId="700A2675" w14:textId="7F661916" w:rsidR="00A6366A" w:rsidRPr="000C7574" w:rsidRDefault="005213E3" w:rsidP="00A6366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  <w:r w:rsidRPr="000C75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Submodule </w:t>
            </w:r>
            <w:r w:rsidR="00A6366A" w:rsidRPr="000C75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4: Modern threats to cultural heritage</w:t>
            </w:r>
          </w:p>
          <w:p w14:paraId="41F07971" w14:textId="77777777" w:rsidR="005213E3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Contested heritage</w:t>
            </w:r>
          </w:p>
          <w:p w14:paraId="507240C0" w14:textId="47F5A410" w:rsidR="00A6366A" w:rsidRPr="00A6366A" w:rsidRDefault="005213E3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>
              <w:rPr>
                <w:rFonts w:cstheme="minorHAnsi"/>
                <w:sz w:val="20"/>
                <w:szCs w:val="20"/>
                <w:lang w:val="en-GB" w:bidi="ar-EG"/>
              </w:rPr>
              <w:t>- Heritage at risk by armed conflict</w:t>
            </w:r>
            <w:r w:rsidR="00A6366A" w:rsidRPr="00A6366A">
              <w:rPr>
                <w:rFonts w:cstheme="minorHAnsi"/>
                <w:sz w:val="20"/>
                <w:szCs w:val="20"/>
                <w:lang w:val="en-GB" w:bidi="ar-EG"/>
              </w:rPr>
              <w:t xml:space="preserve">  </w:t>
            </w:r>
          </w:p>
          <w:p w14:paraId="4A2AF578" w14:textId="698E18BE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Illicit trafficking of artefacts</w:t>
            </w:r>
          </w:p>
          <w:p w14:paraId="6D17CFC3" w14:textId="33BE54DD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 xml:space="preserve">Case studies </w:t>
            </w:r>
          </w:p>
          <w:p w14:paraId="458A5D82" w14:textId="13AFAB6F" w:rsidR="00A6366A" w:rsidRPr="005213E3" w:rsidRDefault="005213E3" w:rsidP="00A6366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  <w:r w:rsidRPr="005213E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Subm</w:t>
            </w:r>
            <w:r w:rsidR="00A6366A" w:rsidRPr="005213E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odule 5: Documentation of Cultural heritage</w:t>
            </w:r>
          </w:p>
          <w:p w14:paraId="68320CD4" w14:textId="0867E8E3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 xml:space="preserve">The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 xml:space="preserve">need 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 xml:space="preserve">of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document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 xml:space="preserve">ing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cultural heritage</w:t>
            </w:r>
          </w:p>
          <w:p w14:paraId="63232197" w14:textId="5341A5F0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Basic principles of documentation and tools: indirect and direct measurements.</w:t>
            </w:r>
          </w:p>
          <w:p w14:paraId="55CC925E" w14:textId="3217B73B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The importance of Heritage digitization: archives, monitoring, conservation, and education</w:t>
            </w:r>
          </w:p>
          <w:p w14:paraId="497632B5" w14:textId="47B017A0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>H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istory of digitization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 xml:space="preserve"> and c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ontemporary digital documentation technologies</w:t>
            </w:r>
          </w:p>
          <w:p w14:paraId="56842A43" w14:textId="4DFBB2FE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Case studies</w:t>
            </w:r>
          </w:p>
          <w:p w14:paraId="2EBE877D" w14:textId="59F5DCF4" w:rsidR="00A6366A" w:rsidRPr="005213E3" w:rsidRDefault="005213E3" w:rsidP="00A6366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  <w:r w:rsidRPr="005213E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Submodule </w:t>
            </w:r>
            <w:r w:rsidR="00A6366A" w:rsidRPr="005213E3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6: Resources on Cultural Heritage</w:t>
            </w:r>
          </w:p>
          <w:p w14:paraId="5E608F9D" w14:textId="67719868" w:rsidR="00A6366A" w:rsidRPr="00A6366A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Online databases</w:t>
            </w:r>
          </w:p>
          <w:p w14:paraId="6308B165" w14:textId="0EA137E6" w:rsidR="00356274" w:rsidRPr="00016974" w:rsidRDefault="00A6366A" w:rsidP="00A636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-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="005213E3">
              <w:rPr>
                <w:rFonts w:cstheme="minorHAnsi"/>
                <w:sz w:val="20"/>
                <w:szCs w:val="20"/>
                <w:lang w:val="en-GB" w:bidi="ar-EG"/>
              </w:rPr>
              <w:t xml:space="preserve">Use of </w:t>
            </w:r>
            <w:r w:rsidRPr="00A6366A">
              <w:rPr>
                <w:rFonts w:cstheme="minorHAnsi"/>
                <w:sz w:val="20"/>
                <w:szCs w:val="20"/>
                <w:lang w:val="en-GB" w:bidi="ar-EG"/>
              </w:rPr>
              <w:t>international platforms and web portals containing digitized cultural heritage collections</w:t>
            </w:r>
          </w:p>
        </w:tc>
        <w:tc>
          <w:tcPr>
            <w:tcW w:w="2430" w:type="dxa"/>
            <w:gridSpan w:val="2"/>
          </w:tcPr>
          <w:p w14:paraId="5F8A5884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9729E36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4. Module Contents: </w:t>
            </w:r>
          </w:p>
          <w:p w14:paraId="1D2C6ACA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</w:p>
        </w:tc>
      </w:tr>
      <w:tr w:rsidR="00356274" w:rsidRPr="00016974" w14:paraId="457AEF0F" w14:textId="77777777" w:rsidTr="006F2324">
        <w:trPr>
          <w:gridAfter w:val="1"/>
          <w:wAfter w:w="17" w:type="dxa"/>
          <w:trHeight w:val="930"/>
        </w:trPr>
        <w:tc>
          <w:tcPr>
            <w:tcW w:w="75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85088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  <w:p w14:paraId="70B62D32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 xml:space="preserve">5.1 Lectures </w:t>
            </w:r>
          </w:p>
          <w:p w14:paraId="17F0D56C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 xml:space="preserve">5.2 Group discussions </w:t>
            </w:r>
          </w:p>
          <w:p w14:paraId="0D384643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5.3 Individual and group research</w:t>
            </w:r>
          </w:p>
          <w:p w14:paraId="42EC2A64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5.4</w:t>
            </w:r>
            <w:r w:rsidRPr="00016974">
              <w:rPr>
                <w:rFonts w:cstheme="minorHAnsi"/>
                <w:sz w:val="20"/>
                <w:szCs w:val="20"/>
                <w:lang w:val="en-GB"/>
              </w:rPr>
              <w:t xml:space="preserve"> Self-guided study</w:t>
            </w:r>
          </w:p>
          <w:p w14:paraId="7923250D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/>
              </w:rPr>
              <w:t>5.5 Analysis of case studies</w:t>
            </w:r>
          </w:p>
        </w:tc>
        <w:tc>
          <w:tcPr>
            <w:tcW w:w="2430" w:type="dxa"/>
            <w:gridSpan w:val="2"/>
            <w:shd w:val="clear" w:color="auto" w:fill="F2F2F2"/>
          </w:tcPr>
          <w:p w14:paraId="5451650C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19E6AFB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5-Teaching and Learning Methods </w:t>
            </w:r>
          </w:p>
        </w:tc>
      </w:tr>
      <w:tr w:rsidR="00356274" w:rsidRPr="00016974" w14:paraId="6983A229" w14:textId="77777777" w:rsidTr="006F2324">
        <w:trPr>
          <w:gridAfter w:val="1"/>
          <w:wAfter w:w="17" w:type="dxa"/>
        </w:trPr>
        <w:tc>
          <w:tcPr>
            <w:tcW w:w="75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31DE0E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</w:p>
          <w:p w14:paraId="4C207D20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 xml:space="preserve">6.1 Lectures </w:t>
            </w:r>
          </w:p>
          <w:p w14:paraId="156D1DC1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6.2 Group discussions</w:t>
            </w:r>
          </w:p>
          <w:p w14:paraId="161B2286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6.3 Individual and group research</w:t>
            </w:r>
          </w:p>
          <w:p w14:paraId="2A082501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 xml:space="preserve">6.4 </w:t>
            </w:r>
            <w:r w:rsidRPr="00016974">
              <w:rPr>
                <w:rFonts w:cstheme="minorHAnsi"/>
                <w:sz w:val="20"/>
                <w:szCs w:val="20"/>
                <w:lang w:val="en-GB"/>
              </w:rPr>
              <w:t>Self-guided study</w:t>
            </w:r>
          </w:p>
          <w:p w14:paraId="1580654B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/>
              </w:rPr>
              <w:t>6.5 Analysis of case studies</w:t>
            </w:r>
          </w:p>
          <w:p w14:paraId="79BA9E1F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6.6 Power point presentations</w:t>
            </w:r>
          </w:p>
          <w:p w14:paraId="07510E17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6.7</w:t>
            </w:r>
            <w:r w:rsidRPr="00016974">
              <w:rPr>
                <w:rFonts w:cstheme="minorHAnsi"/>
                <w:sz w:val="20"/>
                <w:szCs w:val="20"/>
                <w:lang w:val="en-GB"/>
              </w:rPr>
              <w:t xml:space="preserve"> Share lecture notes with the student in advance to support his/her visual and auditory preparation for each class</w:t>
            </w:r>
          </w:p>
          <w:p w14:paraId="4B964186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E5CA238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2C837CE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6- Teaching and learning methods for students with limited capabilities:</w:t>
            </w:r>
          </w:p>
          <w:p w14:paraId="76119E2B" w14:textId="77777777" w:rsidR="00356274" w:rsidRPr="00016974" w:rsidRDefault="00356274" w:rsidP="006F2324">
            <w:pPr>
              <w:bidi/>
              <w:spacing w:after="0" w:line="240" w:lineRule="auto"/>
              <w:ind w:left="720"/>
              <w:jc w:val="both"/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</w:p>
          <w:p w14:paraId="1CEDCAA3" w14:textId="77777777" w:rsidR="00356274" w:rsidRPr="00016974" w:rsidRDefault="00356274" w:rsidP="006F2324">
            <w:pPr>
              <w:bidi/>
              <w:spacing w:after="0" w:line="240" w:lineRule="auto"/>
              <w:ind w:left="720"/>
              <w:jc w:val="both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</w:tr>
      <w:tr w:rsidR="00356274" w:rsidRPr="00016974" w14:paraId="10EFA64C" w14:textId="77777777" w:rsidTr="006F2324">
        <w:trPr>
          <w:gridAfter w:val="1"/>
          <w:wAfter w:w="17" w:type="dxa"/>
          <w:trHeight w:val="70"/>
        </w:trPr>
        <w:tc>
          <w:tcPr>
            <w:tcW w:w="9945" w:type="dxa"/>
            <w:gridSpan w:val="4"/>
            <w:shd w:val="clear" w:color="auto" w:fill="F3F3F3"/>
          </w:tcPr>
          <w:p w14:paraId="79F0DBA7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7. Student Assessment Methods</w:t>
            </w:r>
            <w:r w:rsidRPr="000169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14:paraId="282790ED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</w:tr>
      <w:tr w:rsidR="00356274" w:rsidRPr="00016974" w14:paraId="0916FBA7" w14:textId="77777777" w:rsidTr="006F2324">
        <w:trPr>
          <w:gridAfter w:val="1"/>
          <w:wAfter w:w="17" w:type="dxa"/>
          <w:trHeight w:val="1447"/>
        </w:trPr>
        <w:tc>
          <w:tcPr>
            <w:tcW w:w="7515" w:type="dxa"/>
            <w:gridSpan w:val="2"/>
          </w:tcPr>
          <w:p w14:paraId="54CB6F0D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1. Written test</w:t>
            </w:r>
          </w:p>
          <w:p w14:paraId="1B701D77" w14:textId="09DF75D6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 xml:space="preserve">2. Report/ </w:t>
            </w:r>
            <w:r w:rsidR="000D0709">
              <w:rPr>
                <w:rFonts w:cstheme="minorHAnsi"/>
                <w:sz w:val="20"/>
                <w:szCs w:val="20"/>
                <w:lang w:val="en-GB" w:bidi="ar-EG"/>
              </w:rPr>
              <w:t xml:space="preserve">written </w:t>
            </w: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assignment</w:t>
            </w:r>
          </w:p>
          <w:p w14:paraId="37272C9B" w14:textId="43390292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 xml:space="preserve">3. Oral contribution </w:t>
            </w:r>
            <w:r w:rsidR="001B4CC4">
              <w:rPr>
                <w:rFonts w:cstheme="minorHAnsi"/>
                <w:sz w:val="20"/>
                <w:szCs w:val="20"/>
                <w:lang w:val="en-GB" w:bidi="ar-EG"/>
              </w:rPr>
              <w:t>in the classroom</w:t>
            </w:r>
          </w:p>
        </w:tc>
        <w:tc>
          <w:tcPr>
            <w:tcW w:w="2430" w:type="dxa"/>
            <w:gridSpan w:val="2"/>
          </w:tcPr>
          <w:p w14:paraId="74E70FFF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/>
              </w:rPr>
              <w:t>a. Assessment methods:</w:t>
            </w:r>
          </w:p>
          <w:p w14:paraId="5F5D93BC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  <w:p w14:paraId="23F974EE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  <w:p w14:paraId="34079BF0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  <w:p w14:paraId="22F618FC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  <w:p w14:paraId="56294A5F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</w:tr>
      <w:tr w:rsidR="00356274" w:rsidRPr="00016974" w14:paraId="6B9104E8" w14:textId="77777777" w:rsidTr="006F2324">
        <w:trPr>
          <w:gridAfter w:val="1"/>
          <w:wAfter w:w="17" w:type="dxa"/>
          <w:trHeight w:val="1343"/>
        </w:trPr>
        <w:tc>
          <w:tcPr>
            <w:tcW w:w="7515" w:type="dxa"/>
            <w:gridSpan w:val="2"/>
          </w:tcPr>
          <w:p w14:paraId="51C0E0AD" w14:textId="741A36B8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lastRenderedPageBreak/>
              <w:t>Assessment 1                     week (</w:t>
            </w:r>
            <w:r w:rsidR="001B4CC4">
              <w:rPr>
                <w:rFonts w:cstheme="minorHAnsi"/>
                <w:sz w:val="20"/>
                <w:szCs w:val="20"/>
                <w:lang w:val="en-GB" w:bidi="ar-EG"/>
              </w:rPr>
              <w:t>14</w:t>
            </w: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)</w:t>
            </w:r>
            <w:r w:rsidR="001B4CC4">
              <w:rPr>
                <w:rFonts w:cstheme="minorHAnsi"/>
                <w:sz w:val="20"/>
                <w:szCs w:val="20"/>
                <w:lang w:val="en-GB" w:bidi="ar-EG"/>
              </w:rPr>
              <w:t xml:space="preserve"> (end of semester exams)</w:t>
            </w:r>
          </w:p>
          <w:p w14:paraId="6F7830B9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Assessment 2                     </w:t>
            </w:r>
            <w:proofErr w:type="gramStart"/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week  </w:t>
            </w: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(</w:t>
            </w:r>
            <w:proofErr w:type="gramEnd"/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 xml:space="preserve">7)  </w:t>
            </w:r>
          </w:p>
          <w:p w14:paraId="70F22E47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Assessment 3                      week </w:t>
            </w: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(12)</w:t>
            </w:r>
          </w:p>
        </w:tc>
        <w:tc>
          <w:tcPr>
            <w:tcW w:w="2430" w:type="dxa"/>
            <w:gridSpan w:val="2"/>
          </w:tcPr>
          <w:p w14:paraId="15E64A6A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/>
              </w:rPr>
              <w:t>b. Assessment schedule:</w:t>
            </w:r>
          </w:p>
          <w:p w14:paraId="3EC17849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  <w:p w14:paraId="1F304FB4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  <w:p w14:paraId="1B6E754C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  <w:p w14:paraId="7796B454" w14:textId="77777777" w:rsidR="00356274" w:rsidRPr="00016974" w:rsidRDefault="00356274" w:rsidP="006F2324">
            <w:pPr>
              <w:bidi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</w:tr>
      <w:tr w:rsidR="00356274" w:rsidRPr="00016974" w14:paraId="00DF33E7" w14:textId="77777777" w:rsidTr="006F2324">
        <w:trPr>
          <w:gridAfter w:val="1"/>
          <w:wAfter w:w="17" w:type="dxa"/>
          <w:trHeight w:val="70"/>
        </w:trPr>
        <w:tc>
          <w:tcPr>
            <w:tcW w:w="7515" w:type="dxa"/>
            <w:gridSpan w:val="2"/>
            <w:tcBorders>
              <w:bottom w:val="single" w:sz="4" w:space="0" w:color="auto"/>
            </w:tcBorders>
          </w:tcPr>
          <w:p w14:paraId="35762501" w14:textId="77777777" w:rsidR="00356274" w:rsidRPr="00016974" w:rsidRDefault="00356274" w:rsidP="006F2324">
            <w:pPr>
              <w:spacing w:after="0" w:line="240" w:lineRule="auto"/>
              <w:jc w:val="lowKashida"/>
              <w:rPr>
                <w:rFonts w:cstheme="minorHAnsi"/>
                <w:sz w:val="20"/>
                <w:szCs w:val="20"/>
                <w:lang w:val="en-GB"/>
              </w:rPr>
            </w:pPr>
            <w:r w:rsidRPr="00016974">
              <w:rPr>
                <w:rFonts w:cstheme="minorHAnsi"/>
                <w:sz w:val="20"/>
                <w:szCs w:val="20"/>
                <w:lang w:val="en-GB"/>
              </w:rPr>
              <w:t>60 % for the written test</w:t>
            </w:r>
          </w:p>
          <w:p w14:paraId="1076606C" w14:textId="260096B2" w:rsidR="00356274" w:rsidRPr="00016974" w:rsidRDefault="00356274" w:rsidP="006F2324">
            <w:pPr>
              <w:spacing w:after="0" w:line="240" w:lineRule="auto"/>
              <w:jc w:val="lowKashida"/>
              <w:rPr>
                <w:rFonts w:cstheme="minorHAnsi"/>
                <w:sz w:val="20"/>
                <w:szCs w:val="20"/>
                <w:lang w:val="en-GB"/>
              </w:rPr>
            </w:pPr>
            <w:r w:rsidRPr="00016974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D651C0"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Pr="00016974">
              <w:rPr>
                <w:rFonts w:cstheme="minorHAnsi"/>
                <w:sz w:val="20"/>
                <w:szCs w:val="20"/>
                <w:lang w:val="en-GB"/>
              </w:rPr>
              <w:t xml:space="preserve"> % for the report and </w:t>
            </w:r>
          </w:p>
          <w:p w14:paraId="285DC689" w14:textId="5753B49A" w:rsidR="00356274" w:rsidRPr="00016974" w:rsidRDefault="00D651C0" w:rsidP="006F2324">
            <w:pPr>
              <w:spacing w:after="0" w:line="240" w:lineRule="auto"/>
              <w:jc w:val="lowKashida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10 </w:t>
            </w:r>
            <w:r w:rsidR="00356274" w:rsidRPr="00016974">
              <w:rPr>
                <w:rFonts w:cstheme="minorHAnsi"/>
                <w:sz w:val="20"/>
                <w:szCs w:val="20"/>
                <w:lang w:val="en-GB"/>
              </w:rPr>
              <w:t>% for oral contribution.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30962B32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c. Grades distribution:</w:t>
            </w:r>
          </w:p>
          <w:p w14:paraId="0C03E433" w14:textId="77777777" w:rsidR="00356274" w:rsidRPr="00016974" w:rsidRDefault="00356274" w:rsidP="006F2324">
            <w:pPr>
              <w:bidi/>
              <w:spacing w:after="0" w:line="240" w:lineRule="auto"/>
              <w:jc w:val="right"/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</w:p>
          <w:p w14:paraId="0C563380" w14:textId="77777777" w:rsidR="00356274" w:rsidRPr="00016974" w:rsidRDefault="00356274" w:rsidP="006F2324">
            <w:pPr>
              <w:bidi/>
              <w:spacing w:after="0" w:line="240" w:lineRule="auto"/>
              <w:jc w:val="right"/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</w:p>
          <w:p w14:paraId="6202671A" w14:textId="77777777" w:rsidR="00356274" w:rsidRPr="00016974" w:rsidRDefault="00356274" w:rsidP="006F2324">
            <w:pPr>
              <w:bidi/>
              <w:spacing w:after="0" w:line="240" w:lineRule="auto"/>
              <w:jc w:val="right"/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</w:p>
          <w:p w14:paraId="113A33BA" w14:textId="77777777" w:rsidR="00356274" w:rsidRPr="00016974" w:rsidRDefault="00356274" w:rsidP="006F2324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</w:p>
        </w:tc>
      </w:tr>
      <w:tr w:rsidR="00356274" w:rsidRPr="00016974" w14:paraId="209E3F4B" w14:textId="77777777" w:rsidTr="006F2324">
        <w:trPr>
          <w:gridAfter w:val="1"/>
          <w:wAfter w:w="17" w:type="dxa"/>
          <w:trHeight w:val="728"/>
        </w:trPr>
        <w:tc>
          <w:tcPr>
            <w:tcW w:w="9945" w:type="dxa"/>
            <w:gridSpan w:val="4"/>
            <w:shd w:val="clear" w:color="auto" w:fill="F3F3F3"/>
            <w:vAlign w:val="center"/>
          </w:tcPr>
          <w:p w14:paraId="0DD6C36B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139094" w14:textId="77777777" w:rsidR="00356274" w:rsidRPr="00016974" w:rsidRDefault="00356274" w:rsidP="006F23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rtl/>
                <w:lang w:val="en-GB"/>
              </w:rPr>
            </w:pPr>
            <w:r w:rsidRPr="000169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8. List of References: </w:t>
            </w:r>
          </w:p>
        </w:tc>
      </w:tr>
      <w:tr w:rsidR="00356274" w:rsidRPr="00016974" w14:paraId="3BADD82A" w14:textId="77777777" w:rsidTr="006F2324">
        <w:trPr>
          <w:gridAfter w:val="1"/>
          <w:wAfter w:w="17" w:type="dxa"/>
          <w:trHeight w:val="692"/>
        </w:trPr>
        <w:tc>
          <w:tcPr>
            <w:tcW w:w="7515" w:type="dxa"/>
            <w:gridSpan w:val="2"/>
          </w:tcPr>
          <w:p w14:paraId="71EEE0F2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sz w:val="20"/>
                <w:szCs w:val="20"/>
                <w:lang w:val="en-GB" w:bidi="ar-EG"/>
              </w:rPr>
              <w:t>Hand out given by the lecturer</w:t>
            </w:r>
          </w:p>
        </w:tc>
        <w:tc>
          <w:tcPr>
            <w:tcW w:w="2430" w:type="dxa"/>
            <w:gridSpan w:val="2"/>
          </w:tcPr>
          <w:p w14:paraId="7438A20E" w14:textId="77777777" w:rsidR="00356274" w:rsidRPr="00016974" w:rsidRDefault="00356274" w:rsidP="006F232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Notes </w:t>
            </w:r>
          </w:p>
        </w:tc>
      </w:tr>
      <w:tr w:rsidR="00356274" w:rsidRPr="00016974" w14:paraId="28745CE7" w14:textId="77777777" w:rsidTr="006F2324">
        <w:trPr>
          <w:gridAfter w:val="1"/>
          <w:wAfter w:w="17" w:type="dxa"/>
          <w:trHeight w:val="692"/>
        </w:trPr>
        <w:tc>
          <w:tcPr>
            <w:tcW w:w="7515" w:type="dxa"/>
            <w:gridSpan w:val="2"/>
          </w:tcPr>
          <w:p w14:paraId="76AEAA6B" w14:textId="7A563795" w:rsidR="00D651C0" w:rsidRPr="00283D86" w:rsidRDefault="00283D86" w:rsidP="00283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>Benton, T., (ed), 2010, Understanding Heritage and Memory, Manchester: Manchester University Press</w:t>
            </w:r>
          </w:p>
          <w:p w14:paraId="3B88833A" w14:textId="77777777" w:rsidR="00283D86" w:rsidRPr="00283D86" w:rsidRDefault="00283D86" w:rsidP="00283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>Braudel, F., 1995, A History of Civilizations, Penguin Books.</w:t>
            </w:r>
          </w:p>
          <w:p w14:paraId="2238C6B8" w14:textId="1FB4948C" w:rsidR="00283D86" w:rsidRPr="00283D86" w:rsidRDefault="00283D86" w:rsidP="00283D8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>Burden, E.E., 2003, Illustrated dictionary of architectural preservation: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>restoration, renovation, rehabilitation, reuse, New York: McGraw Hill</w:t>
            </w:r>
          </w:p>
          <w:p w14:paraId="3C7D8AE3" w14:textId="7E360CC2" w:rsidR="00D651C0" w:rsidRDefault="00283D86" w:rsidP="00283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>Camarda</w:t>
            </w:r>
            <w:proofErr w:type="spellEnd"/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 xml:space="preserve">, G., </w:t>
            </w:r>
            <w:proofErr w:type="spellStart"/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>Scovazzi</w:t>
            </w:r>
            <w:proofErr w:type="spellEnd"/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>, T., 2002, The protection of the underwater cultural heritage: legal aspects, A Conference (Palermo-</w:t>
            </w:r>
            <w:proofErr w:type="spellStart"/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>Siracusa</w:t>
            </w:r>
            <w:proofErr w:type="spellEnd"/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 xml:space="preserve">, 8-10 March 2001), </w:t>
            </w:r>
            <w:proofErr w:type="spellStart"/>
            <w:r w:rsidRPr="00283D86">
              <w:rPr>
                <w:rFonts w:cstheme="minorHAnsi"/>
                <w:sz w:val="20"/>
                <w:szCs w:val="20"/>
                <w:lang w:val="en-GB" w:bidi="ar-EG"/>
              </w:rPr>
              <w:t>Giuffrè</w:t>
            </w:r>
            <w:proofErr w:type="spellEnd"/>
          </w:p>
          <w:p w14:paraId="6D155C92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Conway, H.,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Roenisch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R., 2005, 2nd edition (1st edition 1994), Understanding Architecture: An Introduction to architecture and architectural history, London: Routledge</w:t>
            </w:r>
          </w:p>
          <w:p w14:paraId="0525202E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Craig, A., Graham, W., Kagan, D.,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Ozment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S., Turner, F., 2016, The        Heritage of World Civilizations, London: Pearson</w:t>
            </w:r>
          </w:p>
          <w:p w14:paraId="1C7B747F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Earl, J., 2003, 3rd edition, (1st edition 1997), Building Conservation Philosophy, Routledge</w:t>
            </w:r>
          </w:p>
          <w:p w14:paraId="08D1018F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Edgar, R., Hackett, N.,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Jewsbery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G., Molony, B., Gordon, M., 2008, Civilizations. Past and Present, London: Pearson</w:t>
            </w:r>
          </w:p>
          <w:p w14:paraId="70FBD017" w14:textId="7275FB30" w:rsid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Fairclough, G., (ed), 2008, The Heritage Reader, London: Routledge</w:t>
            </w:r>
          </w:p>
          <w:p w14:paraId="648E0B96" w14:textId="77777777" w:rsidR="00380A89" w:rsidRPr="00380A89" w:rsidRDefault="00380A89" w:rsidP="00380A8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>Fielden</w:t>
            </w:r>
            <w:proofErr w:type="spellEnd"/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 xml:space="preserve">, B., </w:t>
            </w:r>
            <w:proofErr w:type="spellStart"/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>Jokilehto</w:t>
            </w:r>
            <w:proofErr w:type="spellEnd"/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>, J., 1993, Management Guidelines for World Cultural Heritage Sites, ICCROM, ASIN: B005ZLFUUY</w:t>
            </w:r>
          </w:p>
          <w:p w14:paraId="4AA20ADD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Francioni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F., (ed), 2008, The 1972 World Heritage Convention: a commentary, Oxford commentaries on international law, Oxford University Press</w:t>
            </w:r>
          </w:p>
          <w:p w14:paraId="0066E78A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Gerstenblith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P., 4th edition, 2019, Art, cultural heritage, and the law: cases and materials, Carolina Academic Press</w:t>
            </w:r>
          </w:p>
          <w:p w14:paraId="7A947D36" w14:textId="596D2225" w:rsidR="00283D86" w:rsidRDefault="00B92631" w:rsidP="00283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Graham, B., Howard, P., (eds), 2008, The Ashgate Research Companion to Heritage and Identity, Farnham: Ashgate</w:t>
            </w:r>
          </w:p>
          <w:p w14:paraId="4EE62785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Harrison, R., Morgan, J., Penrose, S.,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DeSilvey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, C.,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Holtorf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, C., Macdonald, S., Bartolini, N.,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Breithoff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, E.,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Fredheim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H., Lyons, A., 2020, Heritage Futures: Comparative Approaches to Natural and Cultural Heritage Practices, UCL Press</w:t>
            </w:r>
          </w:p>
          <w:p w14:paraId="77F91651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Harrison, R., 2012, Heritage: Critical Approaches, Routledge</w:t>
            </w:r>
          </w:p>
          <w:p w14:paraId="78958214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Harrison, R., 2010, Understanding the Politics of Heritage, Manchester University Press</w:t>
            </w:r>
          </w:p>
          <w:p w14:paraId="0A289577" w14:textId="2E905ECB" w:rsidR="00916078" w:rsidRPr="001A6D16" w:rsidRDefault="001A6D16" w:rsidP="001A6D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1A6D16">
              <w:rPr>
                <w:rFonts w:cstheme="minorHAnsi"/>
                <w:sz w:val="20"/>
                <w:szCs w:val="20"/>
                <w:lang w:val="en-GB" w:bidi="ar-EG"/>
              </w:rPr>
              <w:lastRenderedPageBreak/>
              <w:t>Ifko</w:t>
            </w:r>
            <w:proofErr w:type="spellEnd"/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, S., </w:t>
            </w:r>
            <w:proofErr w:type="spellStart"/>
            <w:r w:rsidRPr="001A6D16">
              <w:rPr>
                <w:rFonts w:cstheme="minorHAnsi"/>
                <w:sz w:val="20"/>
                <w:szCs w:val="20"/>
                <w:lang w:val="en-GB" w:bidi="ar-EG"/>
              </w:rPr>
              <w:t>Stokin</w:t>
            </w:r>
            <w:proofErr w:type="spellEnd"/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, M., (eds), </w:t>
            </w:r>
            <w:r w:rsidR="00916078">
              <w:rPr>
                <w:rFonts w:cstheme="minorHAnsi"/>
                <w:sz w:val="20"/>
                <w:szCs w:val="20"/>
                <w:lang w:val="en-GB" w:bidi="ar-EG"/>
              </w:rPr>
              <w:t xml:space="preserve">2017, </w:t>
            </w:r>
            <w:r w:rsidRPr="001A6D16">
              <w:rPr>
                <w:rFonts w:cstheme="minorHAnsi"/>
                <w:sz w:val="20"/>
                <w:szCs w:val="20"/>
                <w:lang w:val="en-GB" w:bidi="ar-EG"/>
              </w:rPr>
              <w:t>Protection and Reuse of Industrial Heritage: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r w:rsidRPr="001A6D16">
              <w:rPr>
                <w:rFonts w:cstheme="minorHAnsi"/>
                <w:sz w:val="20"/>
                <w:szCs w:val="20"/>
                <w:lang w:val="en-GB" w:bidi="ar-EG"/>
              </w:rPr>
              <w:t>Dilemmas, Problems, Examples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, ICOMOS Slovenia. </w:t>
            </w:r>
          </w:p>
          <w:p w14:paraId="77DDA00E" w14:textId="3889665B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Labadi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S., Long, C., (eds), 2010, Heritage and Globalization, Routledge</w:t>
            </w:r>
          </w:p>
          <w:p w14:paraId="3BB2D200" w14:textId="117AA945" w:rsid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Langfield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, M., Logan W.,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Craith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, M.N., (eds), 2010, Cultural diversity, heritage, and human rights: Intersections in theory and practice, </w:t>
            </w:r>
            <w:proofErr w:type="gram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London</w:t>
            </w:r>
            <w:proofErr w:type="gram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 and New York: Routledge</w:t>
            </w:r>
          </w:p>
          <w:p w14:paraId="291BDA86" w14:textId="77777777" w:rsidR="00380A89" w:rsidRPr="00380A89" w:rsidRDefault="00380A89" w:rsidP="00380A8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>Logan, W.S., 2010, “Development of World Heritage Studies in University Education”, in book: World Heritage and Cultural Diversity, German Commission for UNESCO</w:t>
            </w:r>
          </w:p>
          <w:p w14:paraId="4D7952A9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Lowenthal, D., Binney, M., (eds), 1981, Our past before us: why do we save </w:t>
            </w:r>
            <w:proofErr w:type="gram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it?,</w:t>
            </w:r>
            <w:proofErr w:type="gram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 London: T. Smith</w:t>
            </w:r>
          </w:p>
          <w:p w14:paraId="6C3AF138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Price, S., (ed), 1996, Historical and Philosophical Issues in the Conservation of Cultural Heritage, Getty Conservation Institute</w:t>
            </w:r>
          </w:p>
          <w:p w14:paraId="4C4F4037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Rogerio-Candelera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, M.A.,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Lazzari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M., Cano, E., 2013, Science and Technology for the Conservation of Cultural Heritage, CRC Press.</w:t>
            </w:r>
          </w:p>
          <w:p w14:paraId="60729D60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Ross, M., 1996, Planning and the Heritage: Policy and Procedures, Spon Press.</w:t>
            </w:r>
          </w:p>
          <w:p w14:paraId="3C62930F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Schofield, J., Szymanski, R., (eds), 2011, Local Heritage Global Context: Cultural perspectives on Sense of Place, Farnham: Ashgate</w:t>
            </w:r>
          </w:p>
          <w:p w14:paraId="3B92201A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Skeates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R., 2000, Debating the Archaeological Heritage, Bloomsbury Academic</w:t>
            </w:r>
          </w:p>
          <w:p w14:paraId="705171E0" w14:textId="14B5FC20" w:rsid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Smith, L., 2006, Uses of Heritage, Routledge</w:t>
            </w:r>
          </w:p>
          <w:p w14:paraId="46ED3A7F" w14:textId="77777777" w:rsidR="00380A89" w:rsidRPr="00380A89" w:rsidRDefault="00380A89" w:rsidP="00380A8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>Smith, L., (ed), 2006, Cultural Heritage: Critical Concepts in Media and Cultural Studies, Volume 1, London: Routledge</w:t>
            </w:r>
          </w:p>
          <w:p w14:paraId="372B3A25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Stanco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, F.,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Battiato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S., Gallo, G., 2017, Digital Imaging for Cultural Heritage Preservation: Analysis, Restoration and Reconstruction of ancient artworks, CRC Press</w:t>
            </w:r>
          </w:p>
          <w:p w14:paraId="2FE72B98" w14:textId="2572D2B1" w:rsid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Szczepanowska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, H.M., 2013, Conservation of Cultural Heritage: Key Principles and Approaches, Routledge</w:t>
            </w:r>
          </w:p>
          <w:p w14:paraId="5567F67B" w14:textId="777F7766" w:rsidR="00FE5090" w:rsidRDefault="00FE5090" w:rsidP="00FE50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>
              <w:rPr>
                <w:rFonts w:cstheme="minorHAnsi"/>
                <w:sz w:val="20"/>
                <w:szCs w:val="20"/>
                <w:lang w:val="en-GB" w:bidi="ar-EG"/>
              </w:rPr>
              <w:t>UNESCO, 2013, Managing Cultural World Heritage, World Heritage Resource Manual, France.</w:t>
            </w:r>
          </w:p>
          <w:p w14:paraId="41099F5A" w14:textId="6B673333" w:rsidR="00AC1249" w:rsidRDefault="00AC1249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>
              <w:rPr>
                <w:rFonts w:cstheme="minorHAnsi"/>
                <w:sz w:val="20"/>
                <w:szCs w:val="20"/>
                <w:lang w:val="en-GB" w:bidi="ar-EG"/>
              </w:rPr>
              <w:t>UNESCO, 2012, Managing Natural World Heritage, World Heritage Resource Manual, France.</w:t>
            </w:r>
          </w:p>
          <w:p w14:paraId="4E34B5FE" w14:textId="77777777" w:rsidR="004730BB" w:rsidRDefault="00F345A1" w:rsidP="004730B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>
              <w:rPr>
                <w:rFonts w:cstheme="minorHAnsi"/>
                <w:sz w:val="20"/>
                <w:szCs w:val="20"/>
                <w:lang w:val="en-GB" w:bidi="ar-EG"/>
              </w:rPr>
              <w:t>UNESCO, 2011, Preparing World Heritage Nominations, 2</w:t>
            </w:r>
            <w:r w:rsidRPr="00F345A1">
              <w:rPr>
                <w:rFonts w:cstheme="minorHAnsi"/>
                <w:sz w:val="20"/>
                <w:szCs w:val="20"/>
                <w:vertAlign w:val="superscript"/>
                <w:lang w:val="en-GB" w:bidi="ar-EG"/>
              </w:rPr>
              <w:t>nd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edition, </w:t>
            </w:r>
            <w:r w:rsidR="004730BB">
              <w:rPr>
                <w:rFonts w:cstheme="minorHAnsi"/>
                <w:sz w:val="20"/>
                <w:szCs w:val="20"/>
                <w:lang w:val="en-GB" w:bidi="ar-EG"/>
              </w:rPr>
              <w:t>World Heritage Resource Manual, France.</w:t>
            </w:r>
          </w:p>
          <w:p w14:paraId="35B28A65" w14:textId="3561C485" w:rsidR="00FE5090" w:rsidRDefault="00FE5090" w:rsidP="00FE50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>
              <w:rPr>
                <w:rFonts w:cstheme="minorHAnsi"/>
                <w:sz w:val="20"/>
                <w:szCs w:val="20"/>
                <w:lang w:val="en-GB" w:bidi="ar-EG"/>
              </w:rPr>
              <w:t>UNESCO, 2010, Managing Disaster Risks for World Heritage, World Heritage Resource Manual, France.</w:t>
            </w:r>
          </w:p>
          <w:p w14:paraId="02BCFA5C" w14:textId="6CE227C4" w:rsidR="00BE5BB7" w:rsidRPr="00B92631" w:rsidRDefault="00BE5BB7" w:rsidP="00FE50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Waterton, E., Watson, S., (eds.), 2015, </w:t>
            </w:r>
            <w:r w:rsidRPr="00BE5BB7">
              <w:rPr>
                <w:rFonts w:cstheme="minorHAnsi"/>
                <w:sz w:val="20"/>
                <w:szCs w:val="20"/>
                <w:lang w:val="en-GB" w:bidi="ar-EG"/>
              </w:rPr>
              <w:t>The Palgrave Handbook of Contemporary Heritage Research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, </w:t>
            </w:r>
            <w:r w:rsidRPr="00BE5BB7">
              <w:rPr>
                <w:rFonts w:cstheme="minorHAnsi"/>
                <w:sz w:val="20"/>
                <w:szCs w:val="20"/>
                <w:lang w:val="en-GB" w:bidi="ar-EG"/>
              </w:rPr>
              <w:t>P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>algrave</w:t>
            </w:r>
            <w:r w:rsidRPr="00BE5BB7">
              <w:rPr>
                <w:rFonts w:cstheme="minorHAnsi"/>
                <w:sz w:val="20"/>
                <w:szCs w:val="20"/>
                <w:lang w:val="en-GB" w:bidi="ar-EG"/>
              </w:rPr>
              <w:t xml:space="preserve"> M</w:t>
            </w:r>
            <w:r>
              <w:rPr>
                <w:rFonts w:cstheme="minorHAnsi"/>
                <w:sz w:val="20"/>
                <w:szCs w:val="20"/>
                <w:lang w:val="en-GB" w:bidi="ar-EG"/>
              </w:rPr>
              <w:t>acmillan: London</w:t>
            </w:r>
          </w:p>
          <w:p w14:paraId="3432A149" w14:textId="77777777" w:rsidR="00B92631" w:rsidRP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Waterton, E., Smith, L.J., 2010, Heritage and Community Engagement, Routledge</w:t>
            </w:r>
          </w:p>
          <w:p w14:paraId="7DA13EF3" w14:textId="77777777" w:rsidR="00B92631" w:rsidRDefault="00B92631" w:rsidP="00B9263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West, S., (ed), 2010, Understanding Heritage in Practice, Manchester: Manchester University Press </w:t>
            </w:r>
          </w:p>
          <w:p w14:paraId="72BE1945" w14:textId="50F39C20" w:rsidR="00356274" w:rsidRPr="00085E68" w:rsidRDefault="00B92631" w:rsidP="002B1C7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White, R., Carman, J., 2007, World Heritage: Global Challenges, Local Solutions: Proceedings of a Conference at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Coalbrookdale</w:t>
            </w:r>
            <w:proofErr w:type="spellEnd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 xml:space="preserve">, 4-7 May 2006 Hosted by the Ironbridge Institute, </w:t>
            </w:r>
            <w:proofErr w:type="spellStart"/>
            <w:r w:rsidRPr="00B92631">
              <w:rPr>
                <w:rFonts w:cstheme="minorHAnsi"/>
                <w:sz w:val="20"/>
                <w:szCs w:val="20"/>
                <w:lang w:val="en-GB" w:bidi="ar-EG"/>
              </w:rPr>
              <w:t>Archaeopress</w:t>
            </w:r>
            <w:proofErr w:type="spellEnd"/>
          </w:p>
        </w:tc>
        <w:tc>
          <w:tcPr>
            <w:tcW w:w="2430" w:type="dxa"/>
            <w:gridSpan w:val="2"/>
          </w:tcPr>
          <w:p w14:paraId="01DC6767" w14:textId="57AC5F18" w:rsidR="00356274" w:rsidRPr="00016974" w:rsidRDefault="00356274" w:rsidP="006F232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  <w:proofErr w:type="gramStart"/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lastRenderedPageBreak/>
              <w:t>Text book</w:t>
            </w:r>
            <w:r w:rsidR="00085E68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>s</w:t>
            </w:r>
            <w:proofErr w:type="gramEnd"/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t xml:space="preserve"> </w:t>
            </w:r>
          </w:p>
          <w:p w14:paraId="7F778D4A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pacing w:val="-6"/>
                <w:sz w:val="20"/>
                <w:szCs w:val="20"/>
                <w:rtl/>
                <w:lang w:val="en-GB" w:bidi="ar-EG"/>
              </w:rPr>
            </w:pPr>
          </w:p>
        </w:tc>
      </w:tr>
      <w:tr w:rsidR="00356274" w:rsidRPr="00016974" w14:paraId="51B208CD" w14:textId="77777777" w:rsidTr="006F2324">
        <w:trPr>
          <w:gridAfter w:val="1"/>
          <w:wAfter w:w="17" w:type="dxa"/>
          <w:trHeight w:val="699"/>
        </w:trPr>
        <w:tc>
          <w:tcPr>
            <w:tcW w:w="7515" w:type="dxa"/>
            <w:gridSpan w:val="2"/>
          </w:tcPr>
          <w:p w14:paraId="3BBE40A3" w14:textId="43256742" w:rsidR="00380A89" w:rsidRPr="00380A89" w:rsidRDefault="00380A89" w:rsidP="00380A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 xml:space="preserve">International Journal of Cultural Studies </w:t>
            </w:r>
          </w:p>
          <w:p w14:paraId="0CC28928" w14:textId="49C74F4C" w:rsidR="00380A89" w:rsidRPr="00380A89" w:rsidRDefault="00380A89" w:rsidP="00380A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>International Journal of History and Cultural Studies</w:t>
            </w:r>
          </w:p>
          <w:p w14:paraId="09200308" w14:textId="77777777" w:rsidR="00380A89" w:rsidRPr="00380A89" w:rsidRDefault="00380A89" w:rsidP="00380A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lastRenderedPageBreak/>
              <w:t>World History Connected</w:t>
            </w:r>
            <w:r>
              <w:t xml:space="preserve"> </w:t>
            </w:r>
          </w:p>
          <w:p w14:paraId="7402A99C" w14:textId="328DE892" w:rsidR="00380A89" w:rsidRPr="00380A89" w:rsidRDefault="00380A89" w:rsidP="00380A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>Journal of Cultural Heritage</w:t>
            </w:r>
          </w:p>
          <w:p w14:paraId="2531B8D7" w14:textId="77777777" w:rsidR="00380A89" w:rsidRPr="00380A89" w:rsidRDefault="00380A89" w:rsidP="00380A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>International Journal of Cultural Management</w:t>
            </w:r>
          </w:p>
          <w:p w14:paraId="7F8CCA9F" w14:textId="77777777" w:rsidR="00380A89" w:rsidRPr="00380A89" w:rsidRDefault="00380A89" w:rsidP="00380A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>Journal of Cultural Management and Policy</w:t>
            </w:r>
          </w:p>
          <w:p w14:paraId="59A41A81" w14:textId="77777777" w:rsidR="00356274" w:rsidRPr="00380A89" w:rsidRDefault="00356274" w:rsidP="00380A89">
            <w:pPr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2430" w:type="dxa"/>
            <w:gridSpan w:val="2"/>
          </w:tcPr>
          <w:p w14:paraId="0799A7E6" w14:textId="77777777" w:rsidR="00356274" w:rsidRPr="00016974" w:rsidRDefault="00356274" w:rsidP="006F232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  <w:lastRenderedPageBreak/>
              <w:t xml:space="preserve">Periodicals </w:t>
            </w:r>
          </w:p>
          <w:p w14:paraId="2CCADEA6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pacing w:val="-6"/>
                <w:sz w:val="20"/>
                <w:szCs w:val="20"/>
                <w:lang w:val="en-GB" w:bidi="ar-EG"/>
              </w:rPr>
            </w:pPr>
          </w:p>
          <w:p w14:paraId="7DCC53B4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pacing w:val="-6"/>
                <w:sz w:val="20"/>
                <w:szCs w:val="20"/>
                <w:lang w:val="en-GB" w:bidi="ar-EG"/>
              </w:rPr>
            </w:pPr>
          </w:p>
          <w:p w14:paraId="22B41295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pacing w:val="-6"/>
                <w:sz w:val="20"/>
                <w:szCs w:val="20"/>
                <w:lang w:val="en-GB" w:bidi="ar-EG"/>
              </w:rPr>
            </w:pPr>
          </w:p>
          <w:p w14:paraId="7139B112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pacing w:val="-6"/>
                <w:sz w:val="20"/>
                <w:szCs w:val="20"/>
                <w:lang w:val="en-GB" w:bidi="ar-EG"/>
              </w:rPr>
            </w:pPr>
          </w:p>
          <w:p w14:paraId="4D4B02AA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pacing w:val="-6"/>
                <w:sz w:val="20"/>
                <w:szCs w:val="20"/>
                <w:lang w:val="en-GB" w:bidi="ar-EG"/>
              </w:rPr>
            </w:pPr>
          </w:p>
        </w:tc>
      </w:tr>
      <w:tr w:rsidR="00356274" w:rsidRPr="00016974" w14:paraId="60298197" w14:textId="77777777" w:rsidTr="006F2324">
        <w:trPr>
          <w:gridAfter w:val="1"/>
          <w:wAfter w:w="17" w:type="dxa"/>
          <w:trHeight w:val="692"/>
        </w:trPr>
        <w:tc>
          <w:tcPr>
            <w:tcW w:w="7515" w:type="dxa"/>
            <w:gridSpan w:val="2"/>
          </w:tcPr>
          <w:p w14:paraId="46B69B9F" w14:textId="77777777" w:rsidR="00356274" w:rsidRDefault="00380A89" w:rsidP="00380A8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lastRenderedPageBreak/>
              <w:t>ICOM-CECA (International Committee for Education and Cultural Action</w:t>
            </w:r>
            <w:proofErr w:type="gramStart"/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>) :</w:t>
            </w:r>
            <w:proofErr w:type="gramEnd"/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  <w:hyperlink r:id="rId6" w:history="1">
              <w:r w:rsidRPr="00F53A20">
                <w:rPr>
                  <w:rStyle w:val="Hyperlink"/>
                  <w:rFonts w:cstheme="minorHAnsi"/>
                  <w:sz w:val="20"/>
                  <w:szCs w:val="20"/>
                  <w:lang w:val="en-GB" w:bidi="ar-EG"/>
                </w:rPr>
                <w:t>http://ceca.mini.icom.museum/</w:t>
              </w:r>
            </w:hyperlink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</w:p>
          <w:p w14:paraId="2B37C251" w14:textId="77777777" w:rsidR="00380A89" w:rsidRDefault="00380A89" w:rsidP="00380A8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 xml:space="preserve">UNESCO World Heritage Education programme </w:t>
            </w:r>
            <w:hyperlink r:id="rId7" w:history="1">
              <w:r w:rsidRPr="00F53A20">
                <w:rPr>
                  <w:rStyle w:val="Hyperlink"/>
                  <w:rFonts w:cstheme="minorHAnsi"/>
                  <w:sz w:val="20"/>
                  <w:szCs w:val="20"/>
                  <w:lang w:val="en-GB" w:bidi="ar-EG"/>
                </w:rPr>
                <w:t>https://whc.unesco.org/en/wheducation/</w:t>
              </w:r>
            </w:hyperlink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</w:p>
          <w:p w14:paraId="57238273" w14:textId="77777777" w:rsidR="00380A89" w:rsidRDefault="00380A89" w:rsidP="00380A8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 xml:space="preserve">ICOMOS Guidelines for Education and training in the conservation of Monuments, Ensembles and Sites (1993): </w:t>
            </w:r>
            <w:hyperlink r:id="rId8" w:history="1">
              <w:r w:rsidRPr="00F53A20">
                <w:rPr>
                  <w:rStyle w:val="Hyperlink"/>
                  <w:rFonts w:cstheme="minorHAnsi"/>
                  <w:sz w:val="20"/>
                  <w:szCs w:val="20"/>
                  <w:lang w:val="en-GB" w:bidi="ar-EG"/>
                </w:rPr>
                <w:t>https://www.icomos.org/en/charters-and-texts/179-articles-en-francais/ressources/charters-and-standards/187-guidelines-for-education-and-training-in-the-conservation-of-monuments-ensembles-and-sites</w:t>
              </w:r>
            </w:hyperlink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</w:p>
          <w:p w14:paraId="415B82C3" w14:textId="77777777" w:rsidR="00380A89" w:rsidRDefault="00380A89" w:rsidP="00380A8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 xml:space="preserve">European Union, Initiative 2 - Heritage at school: </w:t>
            </w:r>
            <w:hyperlink r:id="rId9" w:history="1">
              <w:r w:rsidRPr="00F53A20">
                <w:rPr>
                  <w:rStyle w:val="Hyperlink"/>
                  <w:rFonts w:cstheme="minorHAnsi"/>
                  <w:sz w:val="20"/>
                  <w:szCs w:val="20"/>
                  <w:lang w:val="en-GB" w:bidi="ar-EG"/>
                </w:rPr>
                <w:t>https://ec.europa.eu/culture/content/heritage-school_en</w:t>
              </w:r>
            </w:hyperlink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</w:p>
          <w:p w14:paraId="0F0A8122" w14:textId="77777777" w:rsidR="00380A89" w:rsidRDefault="00380A89" w:rsidP="00380A8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 xml:space="preserve">ICCROM: </w:t>
            </w:r>
            <w:hyperlink r:id="rId10" w:history="1">
              <w:r w:rsidRPr="00F53A20">
                <w:rPr>
                  <w:rStyle w:val="Hyperlink"/>
                  <w:rFonts w:cstheme="minorHAnsi"/>
                  <w:sz w:val="20"/>
                  <w:szCs w:val="20"/>
                  <w:lang w:val="en-GB" w:bidi="ar-EG"/>
                </w:rPr>
                <w:t>https://www.iccrom.org/</w:t>
              </w:r>
            </w:hyperlink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</w:p>
          <w:p w14:paraId="3475F696" w14:textId="6143DC15" w:rsidR="00380A89" w:rsidRPr="00016974" w:rsidRDefault="00380A89" w:rsidP="00380A8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  <w:lang w:val="en-GB" w:bidi="ar-EG"/>
              </w:rPr>
            </w:pPr>
            <w:r w:rsidRPr="00380A89">
              <w:rPr>
                <w:rFonts w:cstheme="minorHAnsi"/>
                <w:sz w:val="20"/>
                <w:szCs w:val="20"/>
                <w:lang w:val="en-GB" w:bidi="ar-EG"/>
              </w:rPr>
              <w:t xml:space="preserve">The Getty Conservation Institute, Teaching and Learning Resources: </w:t>
            </w:r>
            <w:hyperlink r:id="rId11" w:history="1">
              <w:r w:rsidRPr="00F53A20">
                <w:rPr>
                  <w:rStyle w:val="Hyperlink"/>
                  <w:rFonts w:cstheme="minorHAnsi"/>
                  <w:sz w:val="20"/>
                  <w:szCs w:val="20"/>
                  <w:lang w:val="en-GB" w:bidi="ar-EG"/>
                </w:rPr>
                <w:t>https://www.getty.edu/conservation/publications_resources/teaching/index.html</w:t>
              </w:r>
            </w:hyperlink>
            <w:r>
              <w:rPr>
                <w:rFonts w:cstheme="minorHAnsi"/>
                <w:sz w:val="20"/>
                <w:szCs w:val="20"/>
                <w:lang w:val="en-GB" w:bidi="ar-EG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2C81B1F5" w14:textId="77777777" w:rsidR="00356274" w:rsidRPr="00016974" w:rsidRDefault="00356274" w:rsidP="006F232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1697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Websites </w:t>
            </w:r>
          </w:p>
          <w:p w14:paraId="0694D934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</w:p>
          <w:p w14:paraId="175D4129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</w:p>
          <w:p w14:paraId="6F998E3E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</w:p>
          <w:p w14:paraId="70F2E43F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 w:bidi="ar-EG"/>
              </w:rPr>
            </w:pPr>
          </w:p>
          <w:p w14:paraId="312B2B51" w14:textId="77777777" w:rsidR="00356274" w:rsidRPr="00016974" w:rsidRDefault="00356274" w:rsidP="006F232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  <w:lang w:val="en-GB" w:bidi="ar-EG"/>
              </w:rPr>
            </w:pPr>
          </w:p>
        </w:tc>
      </w:tr>
    </w:tbl>
    <w:p w14:paraId="335D5C6B" w14:textId="77777777" w:rsidR="00356274" w:rsidRPr="004237D7" w:rsidRDefault="00356274" w:rsidP="00356274">
      <w:pPr>
        <w:spacing w:before="120"/>
        <w:ind w:firstLine="720"/>
        <w:rPr>
          <w:b/>
          <w:bCs/>
          <w:sz w:val="20"/>
          <w:szCs w:val="20"/>
          <w:lang w:bidi="ar-EG"/>
        </w:rPr>
      </w:pPr>
      <w:r w:rsidRPr="004237D7">
        <w:rPr>
          <w:b/>
          <w:bCs/>
          <w:sz w:val="20"/>
          <w:szCs w:val="20"/>
          <w:lang w:bidi="ar-EG"/>
        </w:rPr>
        <w:t xml:space="preserve">Module </w:t>
      </w:r>
      <w:proofErr w:type="spellStart"/>
      <w:r w:rsidRPr="004237D7">
        <w:rPr>
          <w:b/>
          <w:bCs/>
          <w:sz w:val="20"/>
          <w:szCs w:val="20"/>
          <w:lang w:bidi="ar-EG"/>
        </w:rPr>
        <w:t>coordinator</w:t>
      </w:r>
      <w:proofErr w:type="spellEnd"/>
      <w:r w:rsidRPr="004237D7">
        <w:rPr>
          <w:b/>
          <w:bCs/>
          <w:sz w:val="20"/>
          <w:szCs w:val="20"/>
          <w:lang w:bidi="ar-EG"/>
        </w:rPr>
        <w:t xml:space="preserve">: </w:t>
      </w:r>
    </w:p>
    <w:p w14:paraId="1FAF3131" w14:textId="77777777" w:rsidR="00356274" w:rsidRDefault="00356274" w:rsidP="00356274">
      <w:pPr>
        <w:spacing w:before="120"/>
        <w:ind w:firstLine="720"/>
        <w:rPr>
          <w:b/>
          <w:bCs/>
          <w:sz w:val="20"/>
          <w:szCs w:val="20"/>
          <w:lang w:bidi="ar-EG"/>
        </w:rPr>
      </w:pPr>
      <w:r w:rsidRPr="004237D7">
        <w:rPr>
          <w:b/>
          <w:bCs/>
          <w:sz w:val="20"/>
          <w:szCs w:val="20"/>
          <w:lang w:bidi="ar-EG"/>
        </w:rPr>
        <w:t xml:space="preserve">Head </w:t>
      </w:r>
      <w:proofErr w:type="spellStart"/>
      <w:r w:rsidRPr="004237D7">
        <w:rPr>
          <w:b/>
          <w:bCs/>
          <w:sz w:val="20"/>
          <w:szCs w:val="20"/>
          <w:lang w:bidi="ar-EG"/>
        </w:rPr>
        <w:t>of</w:t>
      </w:r>
      <w:proofErr w:type="spellEnd"/>
      <w:r w:rsidRPr="004237D7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237D7">
        <w:rPr>
          <w:b/>
          <w:bCs/>
          <w:sz w:val="20"/>
          <w:szCs w:val="20"/>
          <w:lang w:bidi="ar-EG"/>
        </w:rPr>
        <w:t>department</w:t>
      </w:r>
      <w:proofErr w:type="spellEnd"/>
      <w:r w:rsidRPr="004237D7">
        <w:rPr>
          <w:b/>
          <w:bCs/>
          <w:sz w:val="20"/>
          <w:szCs w:val="20"/>
          <w:lang w:bidi="ar-EG"/>
        </w:rPr>
        <w:t>:</w:t>
      </w:r>
    </w:p>
    <w:p w14:paraId="1EFEE0BF" w14:textId="1DC3A7FB" w:rsidR="00356274" w:rsidRDefault="00356274" w:rsidP="00356274"/>
    <w:p w14:paraId="76101728" w14:textId="6255449A" w:rsidR="00970760" w:rsidRDefault="00970760" w:rsidP="00356274"/>
    <w:p w14:paraId="5801EB62" w14:textId="2CB9542A" w:rsidR="00356274" w:rsidRDefault="00356274" w:rsidP="00970760"/>
    <w:sectPr w:rsidR="0035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5FA7"/>
    <w:multiLevelType w:val="hybridMultilevel"/>
    <w:tmpl w:val="E1F04ACA"/>
    <w:lvl w:ilvl="0" w:tplc="352EA2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22CAC"/>
    <w:multiLevelType w:val="hybridMultilevel"/>
    <w:tmpl w:val="62C0ECF4"/>
    <w:lvl w:ilvl="0" w:tplc="3BE2DB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33580"/>
    <w:multiLevelType w:val="hybridMultilevel"/>
    <w:tmpl w:val="BEDA3D06"/>
    <w:lvl w:ilvl="0" w:tplc="73BE9A42">
      <w:start w:val="1"/>
      <w:numFmt w:val="lowerLetter"/>
      <w:lvlText w:val="%1.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B9C"/>
    <w:multiLevelType w:val="hybridMultilevel"/>
    <w:tmpl w:val="45E490AE"/>
    <w:lvl w:ilvl="0" w:tplc="27CC1C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80FD0"/>
    <w:multiLevelType w:val="hybridMultilevel"/>
    <w:tmpl w:val="01E88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72EA8"/>
    <w:multiLevelType w:val="hybridMultilevel"/>
    <w:tmpl w:val="44E8EDE6"/>
    <w:lvl w:ilvl="0" w:tplc="352EA2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75558">
    <w:abstractNumId w:val="2"/>
  </w:num>
  <w:num w:numId="2" w16cid:durableId="847447931">
    <w:abstractNumId w:val="3"/>
  </w:num>
  <w:num w:numId="3" w16cid:durableId="771784060">
    <w:abstractNumId w:val="0"/>
  </w:num>
  <w:num w:numId="4" w16cid:durableId="1145664326">
    <w:abstractNumId w:val="5"/>
  </w:num>
  <w:num w:numId="5" w16cid:durableId="1517040954">
    <w:abstractNumId w:val="1"/>
  </w:num>
  <w:num w:numId="6" w16cid:durableId="731804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MzQ2N7E0MjIxMTdQ0lEKTi0uzszPAykwrAUAMnF0JiwAAAA="/>
  </w:docVars>
  <w:rsids>
    <w:rsidRoot w:val="00356274"/>
    <w:rsid w:val="00085E68"/>
    <w:rsid w:val="000C7574"/>
    <w:rsid w:val="000D0709"/>
    <w:rsid w:val="001A6D16"/>
    <w:rsid w:val="001B4CC4"/>
    <w:rsid w:val="00283D86"/>
    <w:rsid w:val="002B1C72"/>
    <w:rsid w:val="00356274"/>
    <w:rsid w:val="003600C1"/>
    <w:rsid w:val="00380A89"/>
    <w:rsid w:val="003937EC"/>
    <w:rsid w:val="003F14F5"/>
    <w:rsid w:val="003F32D2"/>
    <w:rsid w:val="004730BB"/>
    <w:rsid w:val="00515250"/>
    <w:rsid w:val="005213E3"/>
    <w:rsid w:val="00916078"/>
    <w:rsid w:val="00970760"/>
    <w:rsid w:val="00A6366A"/>
    <w:rsid w:val="00AC1249"/>
    <w:rsid w:val="00B92631"/>
    <w:rsid w:val="00BE5BB7"/>
    <w:rsid w:val="00CE4693"/>
    <w:rsid w:val="00D651C0"/>
    <w:rsid w:val="00F345A1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61DE"/>
  <w15:chartTrackingRefBased/>
  <w15:docId w15:val="{006AE00D-03DE-45EE-A627-7CCB30CE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74"/>
    <w:pPr>
      <w:spacing w:after="200" w:line="276" w:lineRule="auto"/>
    </w:pPr>
    <w:rPr>
      <w:rFonts w:eastAsiaTheme="minorEastAsia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274"/>
    <w:pPr>
      <w:ind w:left="720"/>
      <w:contextualSpacing/>
    </w:pPr>
  </w:style>
  <w:style w:type="paragraph" w:customStyle="1" w:styleId="Default">
    <w:name w:val="Default"/>
    <w:rsid w:val="00356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3562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mos.org/en/charters-and-texts/179-articles-en-francais/ressources/charters-and-standards/187-guidelines-for-education-and-training-in-the-conservation-of-monuments-ensembles-and-si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hc.unesco.org/en/wheducation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ca.mini.icom.museum/" TargetMode="External"/><Relationship Id="rId11" Type="http://schemas.openxmlformats.org/officeDocument/2006/relationships/hyperlink" Target="https://www.getty.edu/conservation/publications_resources/teaching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ccrom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ulture/content/heritage-school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1BE157E-502A-4AC6-8E5D-C68ADD5C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TSETINE</dc:creator>
  <cp:keywords/>
  <dc:description/>
  <cp:lastModifiedBy>EIRINI TSETINE</cp:lastModifiedBy>
  <cp:revision>13</cp:revision>
  <dcterms:created xsi:type="dcterms:W3CDTF">2022-05-09T07:34:00Z</dcterms:created>
  <dcterms:modified xsi:type="dcterms:W3CDTF">2022-05-09T09:16:00Z</dcterms:modified>
</cp:coreProperties>
</file>